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77" w:rsidRPr="0079789A" w:rsidRDefault="00A76F77" w:rsidP="0064357E">
      <w:pPr>
        <w:jc w:val="center"/>
      </w:pPr>
      <w:r w:rsidRPr="0079789A">
        <w:rPr>
          <w:rStyle w:val="Strong"/>
        </w:rPr>
        <w:t>APŽVALGA</w:t>
      </w:r>
    </w:p>
    <w:p w:rsidR="00A76F77" w:rsidRDefault="00A76F77" w:rsidP="00623996">
      <w:pPr>
        <w:jc w:val="center"/>
        <w:rPr>
          <w:rStyle w:val="Strong"/>
        </w:rPr>
      </w:pPr>
      <w:r w:rsidRPr="0079789A">
        <w:rPr>
          <w:rStyle w:val="Strong"/>
        </w:rPr>
        <w:t xml:space="preserve">TEISMŲ </w:t>
      </w:r>
      <w:r>
        <w:rPr>
          <w:rStyle w:val="Strong"/>
        </w:rPr>
        <w:t xml:space="preserve">PROCESINIŲ </w:t>
      </w:r>
      <w:r w:rsidRPr="0079789A">
        <w:rPr>
          <w:rStyle w:val="Strong"/>
        </w:rPr>
        <w:t xml:space="preserve">SPRENDIMŲ VIEŠINIMAS </w:t>
      </w:r>
    </w:p>
    <w:p w:rsidR="00A76F77" w:rsidRPr="0079789A" w:rsidRDefault="00A76F77" w:rsidP="00623996">
      <w:pPr>
        <w:jc w:val="center"/>
      </w:pPr>
      <w:r>
        <w:rPr>
          <w:rStyle w:val="Strong"/>
        </w:rPr>
        <w:t>(</w:t>
      </w:r>
      <w:r w:rsidRPr="0079789A">
        <w:rPr>
          <w:rStyle w:val="Strong"/>
        </w:rPr>
        <w:t>PAGAL EUROPOS TEISMŲ TARYBŲ TINKLO GRUPĖS PATEIKTĄ MEDŽIAGĄ</w:t>
      </w:r>
      <w:r>
        <w:rPr>
          <w:rStyle w:val="Strong"/>
        </w:rPr>
        <w:t>)</w:t>
      </w:r>
    </w:p>
    <w:p w:rsidR="00A76F77" w:rsidRPr="0079789A" w:rsidRDefault="00A76F77" w:rsidP="00623996">
      <w:pPr>
        <w:jc w:val="center"/>
      </w:pPr>
    </w:p>
    <w:p w:rsidR="00A76F77" w:rsidRPr="0079789A" w:rsidRDefault="00A76F77" w:rsidP="00623996">
      <w:pPr>
        <w:spacing w:line="240" w:lineRule="atLeast"/>
        <w:jc w:val="center"/>
        <w:rPr>
          <w:b/>
        </w:rPr>
      </w:pPr>
      <w:r w:rsidRPr="0079789A">
        <w:rPr>
          <w:b/>
        </w:rPr>
        <w:t>2013 m.</w:t>
      </w:r>
    </w:p>
    <w:p w:rsidR="00A76F77" w:rsidRPr="0079789A" w:rsidRDefault="00A76F77" w:rsidP="00A66D85">
      <w:pPr>
        <w:spacing w:line="240" w:lineRule="atLeast"/>
        <w:jc w:val="both"/>
        <w:rPr>
          <w:b/>
        </w:rPr>
      </w:pPr>
    </w:p>
    <w:p w:rsidR="00A76F77" w:rsidRPr="00964893" w:rsidRDefault="00A76F77" w:rsidP="00A3114D">
      <w:pPr>
        <w:spacing w:before="100" w:beforeAutospacing="1" w:after="100" w:afterAutospacing="1" w:line="240" w:lineRule="atLeast"/>
        <w:jc w:val="both"/>
        <w:rPr>
          <w:b/>
          <w:u w:val="single"/>
        </w:rPr>
      </w:pPr>
      <w:r w:rsidRPr="00964893">
        <w:rPr>
          <w:b/>
          <w:u w:val="single"/>
        </w:rPr>
        <w:t>I. Teismų procesinių sprendimų viešinimo problematika</w:t>
      </w:r>
    </w:p>
    <w:p w:rsidR="00A76F77" w:rsidRPr="0079789A" w:rsidRDefault="00A76F77" w:rsidP="00A3114D">
      <w:pPr>
        <w:spacing w:before="100" w:beforeAutospacing="1" w:after="100" w:afterAutospacing="1" w:line="240" w:lineRule="atLeast"/>
        <w:jc w:val="both"/>
      </w:pPr>
      <w:r w:rsidRPr="0079789A">
        <w:t xml:space="preserve">Apžvalga „Teismų </w:t>
      </w:r>
      <w:r>
        <w:t xml:space="preserve">procesinių </w:t>
      </w:r>
      <w:r w:rsidRPr="0079789A">
        <w:t xml:space="preserve">sprendimų viešinimas </w:t>
      </w:r>
      <w:r>
        <w:t>(p</w:t>
      </w:r>
      <w:r w:rsidRPr="0079789A">
        <w:t>agal Europos teismų tarybų tinklo grupės pateiktą medžiagą</w:t>
      </w:r>
      <w:r>
        <w:t>)“</w:t>
      </w:r>
      <w:r w:rsidRPr="0079789A">
        <w:t xml:space="preserve"> parengta remiantis Europos teismų tarybų tinklo (toliau – ETTT) darbo grupės ataskaita „Teisingumas, visuomenė ir visuomenės informavimo priemonės“</w:t>
      </w:r>
      <w:r w:rsidRPr="0079789A">
        <w:rPr>
          <w:rStyle w:val="FootnoteReference"/>
        </w:rPr>
        <w:footnoteReference w:id="1"/>
      </w:r>
      <w:r w:rsidRPr="0079789A">
        <w:t>, kurioje ši darbo grupė apibendrino teismų komunikavimo su visuomenės informavimo priemonių atstovais situaciją ETTT šalyse narėse ir pasiūlė valstybėms bendrąsias rekomendacijas.</w:t>
      </w:r>
    </w:p>
    <w:p w:rsidR="00A76F77" w:rsidRPr="0079789A" w:rsidRDefault="00A76F77" w:rsidP="0066433F">
      <w:pPr>
        <w:spacing w:before="100" w:beforeAutospacing="1" w:after="100" w:afterAutospacing="1" w:line="240" w:lineRule="atLeast"/>
        <w:jc w:val="both"/>
      </w:pPr>
      <w:r w:rsidRPr="0079789A">
        <w:t xml:space="preserve">Atkreiptinas dėmesys, kad visuomenės informavimo priemonė šioje apžvalgoje suprantama kaip laikraštis, žurnalas, biuletenis ar kitas leidinys, knygos, televizijos ar radijo laidos ar programos rengėjas, kino ar kita garso ir vaizdo studija, informacinės visuomenės informavimo priemonė, interneto portalas, </w:t>
      </w:r>
      <w:proofErr w:type="spellStart"/>
      <w:r w:rsidRPr="0079789A">
        <w:t>tinklaraštis</w:t>
      </w:r>
      <w:proofErr w:type="spellEnd"/>
      <w:r w:rsidRPr="0079789A">
        <w:t xml:space="preserve"> ar kita priemonė, kuri viešai skleidžia informaciją.</w:t>
      </w:r>
      <w:r w:rsidRPr="0079789A">
        <w:rPr>
          <w:rStyle w:val="FootnoteReference"/>
        </w:rPr>
        <w:footnoteReference w:id="2"/>
      </w:r>
    </w:p>
    <w:p w:rsidR="00A76F77" w:rsidRPr="0079789A" w:rsidRDefault="00A76F77" w:rsidP="0066433F">
      <w:pPr>
        <w:spacing w:before="100" w:beforeAutospacing="1" w:after="100" w:afterAutospacing="1" w:line="240" w:lineRule="atLeast"/>
        <w:jc w:val="both"/>
      </w:pPr>
      <w:r w:rsidRPr="0079789A">
        <w:t>Taip pat svarbu pažymėti, jog informacija apie teismo veiklą visuomenės informavimo priemonių atstovams gali būti teikiama šiomis formomis:</w:t>
      </w:r>
    </w:p>
    <w:p w:rsidR="00A76F77" w:rsidRPr="0079789A" w:rsidRDefault="00A76F77" w:rsidP="002D1048">
      <w:pPr>
        <w:pStyle w:val="ListParagraph"/>
        <w:numPr>
          <w:ilvl w:val="0"/>
          <w:numId w:val="5"/>
        </w:numPr>
        <w:spacing w:before="120" w:after="100" w:afterAutospacing="1" w:line="240" w:lineRule="atLeast"/>
        <w:ind w:left="1497" w:hanging="357"/>
        <w:contextualSpacing w:val="0"/>
        <w:jc w:val="both"/>
        <w:rPr>
          <w:rFonts w:ascii="Times New Roman" w:hAnsi="Times New Roman"/>
          <w:sz w:val="24"/>
          <w:szCs w:val="24"/>
        </w:rPr>
      </w:pPr>
      <w:proofErr w:type="spellStart"/>
      <w:r w:rsidRPr="0079789A">
        <w:rPr>
          <w:rFonts w:ascii="Times New Roman" w:hAnsi="Times New Roman"/>
          <w:sz w:val="24"/>
          <w:szCs w:val="24"/>
        </w:rPr>
        <w:t>pranešimais</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spaudai</w:t>
      </w:r>
      <w:proofErr w:type="spellEnd"/>
      <w:r w:rsidRPr="0079789A">
        <w:rPr>
          <w:rFonts w:ascii="Times New Roman" w:hAnsi="Times New Roman"/>
          <w:sz w:val="24"/>
          <w:szCs w:val="24"/>
        </w:rPr>
        <w:t>;</w:t>
      </w:r>
    </w:p>
    <w:p w:rsidR="00A76F77" w:rsidRPr="0079789A" w:rsidRDefault="00A76F77" w:rsidP="002D1048">
      <w:pPr>
        <w:pStyle w:val="ListParagraph"/>
        <w:numPr>
          <w:ilvl w:val="0"/>
          <w:numId w:val="5"/>
        </w:numPr>
        <w:spacing w:before="120" w:after="100" w:afterAutospacing="1" w:line="240" w:lineRule="atLeast"/>
        <w:ind w:left="1497" w:hanging="357"/>
        <w:contextualSpacing w:val="0"/>
        <w:jc w:val="both"/>
        <w:rPr>
          <w:rFonts w:ascii="Times New Roman" w:hAnsi="Times New Roman"/>
          <w:sz w:val="24"/>
          <w:szCs w:val="24"/>
        </w:rPr>
      </w:pPr>
      <w:proofErr w:type="spellStart"/>
      <w:r w:rsidRPr="0079789A">
        <w:rPr>
          <w:rFonts w:ascii="Times New Roman" w:hAnsi="Times New Roman"/>
          <w:sz w:val="24"/>
          <w:szCs w:val="24"/>
        </w:rPr>
        <w:t>trumpais</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komentarais</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ar</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interviu</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visuomenės</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informavimo</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priemonių</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atstovams</w:t>
      </w:r>
      <w:proofErr w:type="spellEnd"/>
      <w:r w:rsidRPr="0079789A">
        <w:rPr>
          <w:rFonts w:ascii="Times New Roman" w:hAnsi="Times New Roman"/>
          <w:sz w:val="24"/>
          <w:szCs w:val="24"/>
        </w:rPr>
        <w:t>;</w:t>
      </w:r>
    </w:p>
    <w:p w:rsidR="00A76F77" w:rsidRPr="0079789A" w:rsidRDefault="00A76F77" w:rsidP="002D1048">
      <w:pPr>
        <w:pStyle w:val="ListParagraph"/>
        <w:numPr>
          <w:ilvl w:val="0"/>
          <w:numId w:val="5"/>
        </w:numPr>
        <w:spacing w:before="120" w:after="100" w:afterAutospacing="1" w:line="240" w:lineRule="atLeast"/>
        <w:ind w:left="1497" w:hanging="357"/>
        <w:contextualSpacing w:val="0"/>
        <w:jc w:val="both"/>
        <w:rPr>
          <w:rFonts w:ascii="Times New Roman" w:hAnsi="Times New Roman"/>
          <w:sz w:val="24"/>
          <w:szCs w:val="24"/>
        </w:rPr>
      </w:pPr>
      <w:proofErr w:type="spellStart"/>
      <w:r w:rsidRPr="0079789A">
        <w:rPr>
          <w:rFonts w:ascii="Times New Roman" w:hAnsi="Times New Roman"/>
          <w:sz w:val="24"/>
          <w:szCs w:val="24"/>
        </w:rPr>
        <w:t>atsakymais</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žodžiu</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raštu</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arba</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elektronine</w:t>
      </w:r>
      <w:proofErr w:type="spellEnd"/>
      <w:r w:rsidRPr="0079789A">
        <w:rPr>
          <w:rFonts w:ascii="Times New Roman" w:hAnsi="Times New Roman"/>
          <w:sz w:val="24"/>
          <w:szCs w:val="24"/>
        </w:rPr>
        <w:t xml:space="preserve"> forma į </w:t>
      </w:r>
      <w:proofErr w:type="spellStart"/>
      <w:r w:rsidRPr="0079789A">
        <w:rPr>
          <w:rFonts w:ascii="Times New Roman" w:hAnsi="Times New Roman"/>
          <w:sz w:val="24"/>
          <w:szCs w:val="24"/>
        </w:rPr>
        <w:t>visuomenės</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informavimo</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priemonių</w:t>
      </w:r>
      <w:proofErr w:type="spellEnd"/>
      <w:r w:rsidRPr="0079789A">
        <w:rPr>
          <w:rFonts w:ascii="Times New Roman" w:hAnsi="Times New Roman"/>
          <w:b/>
          <w:bCs/>
          <w:sz w:val="24"/>
          <w:szCs w:val="24"/>
        </w:rPr>
        <w:t xml:space="preserve"> </w:t>
      </w:r>
      <w:proofErr w:type="spellStart"/>
      <w:r w:rsidRPr="0079789A">
        <w:rPr>
          <w:rFonts w:ascii="Times New Roman" w:hAnsi="Times New Roman"/>
          <w:sz w:val="24"/>
          <w:szCs w:val="24"/>
        </w:rPr>
        <w:t>atstovų</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paklausimus</w:t>
      </w:r>
      <w:proofErr w:type="spellEnd"/>
      <w:r w:rsidRPr="0079789A">
        <w:rPr>
          <w:rFonts w:ascii="Times New Roman" w:hAnsi="Times New Roman"/>
          <w:sz w:val="24"/>
          <w:szCs w:val="24"/>
        </w:rPr>
        <w:t>;</w:t>
      </w:r>
    </w:p>
    <w:p w:rsidR="00A76F77" w:rsidRPr="0079789A" w:rsidRDefault="00A76F77" w:rsidP="002D1048">
      <w:pPr>
        <w:pStyle w:val="ListParagraph"/>
        <w:numPr>
          <w:ilvl w:val="0"/>
          <w:numId w:val="5"/>
        </w:numPr>
        <w:spacing w:before="120" w:after="100" w:afterAutospacing="1" w:line="240" w:lineRule="atLeast"/>
        <w:ind w:left="1497" w:hanging="357"/>
        <w:contextualSpacing w:val="0"/>
        <w:jc w:val="both"/>
        <w:rPr>
          <w:rFonts w:ascii="Times New Roman" w:hAnsi="Times New Roman"/>
          <w:sz w:val="24"/>
          <w:szCs w:val="24"/>
        </w:rPr>
      </w:pPr>
      <w:proofErr w:type="spellStart"/>
      <w:r w:rsidRPr="0079789A">
        <w:rPr>
          <w:rFonts w:ascii="Times New Roman" w:hAnsi="Times New Roman"/>
          <w:sz w:val="24"/>
          <w:szCs w:val="24"/>
        </w:rPr>
        <w:t>skelbiant</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informaciją</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apie</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teismo</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veiklą</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interneto</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svetainėje</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arba</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pateikiant</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ją</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elektroninės</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naujienų</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prenumeratos</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būdu</w:t>
      </w:r>
      <w:proofErr w:type="spellEnd"/>
      <w:r w:rsidRPr="0079789A">
        <w:rPr>
          <w:rFonts w:ascii="Times New Roman" w:hAnsi="Times New Roman"/>
          <w:sz w:val="24"/>
          <w:szCs w:val="24"/>
        </w:rPr>
        <w:t>;</w:t>
      </w:r>
    </w:p>
    <w:p w:rsidR="00A76F77" w:rsidRPr="0079789A" w:rsidRDefault="00A76F77" w:rsidP="002D1048">
      <w:pPr>
        <w:pStyle w:val="ListParagraph"/>
        <w:numPr>
          <w:ilvl w:val="0"/>
          <w:numId w:val="5"/>
        </w:numPr>
        <w:spacing w:before="120" w:after="100" w:afterAutospacing="1" w:line="240" w:lineRule="atLeast"/>
        <w:ind w:left="1497" w:hanging="357"/>
        <w:contextualSpacing w:val="0"/>
        <w:jc w:val="both"/>
        <w:rPr>
          <w:rFonts w:ascii="Times New Roman" w:hAnsi="Times New Roman"/>
          <w:sz w:val="24"/>
          <w:szCs w:val="24"/>
        </w:rPr>
      </w:pPr>
      <w:proofErr w:type="spellStart"/>
      <w:proofErr w:type="gramStart"/>
      <w:r w:rsidRPr="0079789A">
        <w:rPr>
          <w:rFonts w:ascii="Times New Roman" w:hAnsi="Times New Roman"/>
          <w:sz w:val="24"/>
          <w:szCs w:val="24"/>
        </w:rPr>
        <w:t>organizuojant</w:t>
      </w:r>
      <w:proofErr w:type="spellEnd"/>
      <w:proofErr w:type="gramEnd"/>
      <w:r w:rsidRPr="0079789A">
        <w:rPr>
          <w:rFonts w:ascii="Times New Roman" w:hAnsi="Times New Roman"/>
          <w:sz w:val="24"/>
          <w:szCs w:val="24"/>
        </w:rPr>
        <w:t xml:space="preserve"> </w:t>
      </w:r>
      <w:proofErr w:type="spellStart"/>
      <w:r w:rsidRPr="0079789A">
        <w:rPr>
          <w:rFonts w:ascii="Times New Roman" w:hAnsi="Times New Roman"/>
          <w:sz w:val="24"/>
          <w:szCs w:val="24"/>
        </w:rPr>
        <w:t>spaudos</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konferencijas</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renginius</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užsiimant</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leidyba</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teisiniu</w:t>
      </w:r>
      <w:proofErr w:type="spellEnd"/>
      <w:r w:rsidRPr="0079789A">
        <w:rPr>
          <w:rFonts w:ascii="Times New Roman" w:hAnsi="Times New Roman"/>
          <w:sz w:val="24"/>
          <w:szCs w:val="24"/>
        </w:rPr>
        <w:t xml:space="preserve"> </w:t>
      </w:r>
      <w:proofErr w:type="spellStart"/>
      <w:r w:rsidRPr="0079789A">
        <w:rPr>
          <w:rFonts w:ascii="Times New Roman" w:hAnsi="Times New Roman"/>
          <w:sz w:val="24"/>
          <w:szCs w:val="24"/>
        </w:rPr>
        <w:t>švietimu</w:t>
      </w:r>
      <w:proofErr w:type="spellEnd"/>
      <w:r w:rsidRPr="0079789A">
        <w:rPr>
          <w:rFonts w:ascii="Times New Roman" w:hAnsi="Times New Roman"/>
          <w:sz w:val="24"/>
          <w:szCs w:val="24"/>
        </w:rPr>
        <w:t xml:space="preserve"> ir pan.</w:t>
      </w:r>
      <w:r w:rsidRPr="0079789A">
        <w:rPr>
          <w:rStyle w:val="FootnoteReference"/>
          <w:rFonts w:ascii="Times New Roman" w:hAnsi="Times New Roman"/>
          <w:sz w:val="24"/>
          <w:szCs w:val="24"/>
        </w:rPr>
        <w:footnoteReference w:id="3"/>
      </w:r>
    </w:p>
    <w:p w:rsidR="00A76F77" w:rsidRPr="009041D7" w:rsidRDefault="00A76F77" w:rsidP="009041D7">
      <w:pPr>
        <w:spacing w:before="100" w:beforeAutospacing="1" w:after="100" w:afterAutospacing="1" w:line="240" w:lineRule="atLeast"/>
        <w:jc w:val="both"/>
      </w:pPr>
      <w:r w:rsidRPr="0079789A">
        <w:t>Kalbant apie teismų procesinių sprendimų viešą skelbimą, svarbu, jog skelbiamos informacijos turinys nepažeistų žmogaus teisių, laisvių ar teisėtų interesų. Taip pat reikalinga įvertinti</w:t>
      </w:r>
      <w:r>
        <w:t>,</w:t>
      </w:r>
      <w:r w:rsidRPr="0079789A">
        <w:t xml:space="preserve"> ar, atsižvelgiant į bylos pobūdį ir procesinę stadiją, tokią informaciją reikalinga nurodyti siekiant išsamiai ir nešališkai informuoti visuomenę apie bylos nagrinėjimą.</w:t>
      </w:r>
      <w:r w:rsidRPr="0079789A">
        <w:rPr>
          <w:rStyle w:val="FootnoteReference"/>
        </w:rPr>
        <w:footnoteReference w:id="4"/>
      </w:r>
    </w:p>
    <w:p w:rsidR="00A76F77" w:rsidRPr="0079789A" w:rsidRDefault="00A76F77" w:rsidP="00A66D85">
      <w:pPr>
        <w:spacing w:line="240" w:lineRule="atLeast"/>
        <w:jc w:val="both"/>
        <w:rPr>
          <w:b/>
          <w:u w:val="single"/>
        </w:rPr>
      </w:pPr>
      <w:r w:rsidRPr="0079789A">
        <w:rPr>
          <w:b/>
          <w:u w:val="single"/>
        </w:rPr>
        <w:t>I</w:t>
      </w:r>
      <w:r>
        <w:rPr>
          <w:b/>
          <w:u w:val="single"/>
        </w:rPr>
        <w:t>I</w:t>
      </w:r>
      <w:r w:rsidRPr="0079789A">
        <w:rPr>
          <w:b/>
          <w:u w:val="single"/>
        </w:rPr>
        <w:t xml:space="preserve">. </w:t>
      </w:r>
      <w:r>
        <w:rPr>
          <w:b/>
          <w:u w:val="single"/>
        </w:rPr>
        <w:t>Teismų sprendimų</w:t>
      </w:r>
      <w:r w:rsidRPr="0079789A">
        <w:rPr>
          <w:b/>
          <w:u w:val="single"/>
        </w:rPr>
        <w:t xml:space="preserve"> skelbimas internete</w:t>
      </w:r>
    </w:p>
    <w:p w:rsidR="00A76F77" w:rsidRPr="0079789A" w:rsidRDefault="00A76F77" w:rsidP="003C0C06">
      <w:pPr>
        <w:spacing w:before="100" w:beforeAutospacing="1" w:after="100" w:afterAutospacing="1" w:line="240" w:lineRule="atLeast"/>
        <w:jc w:val="both"/>
      </w:pPr>
      <w:r w:rsidRPr="0079789A">
        <w:t>Siekiant kuo didesnio teismų veiklos skaidrumo,</w:t>
      </w:r>
      <w:r>
        <w:t xml:space="preserve"> pripažįstama, jog</w:t>
      </w:r>
      <w:r w:rsidRPr="0079789A">
        <w:t xml:space="preserve"> </w:t>
      </w:r>
      <w:r>
        <w:t xml:space="preserve">procesiniai </w:t>
      </w:r>
      <w:r w:rsidRPr="0079789A">
        <w:t xml:space="preserve">teismų sprendimai turi būti prieinami visuomenei. Taigi teismų sprendimai turėtų būti </w:t>
      </w:r>
      <w:r>
        <w:t>dedami į</w:t>
      </w:r>
      <w:r w:rsidRPr="0079789A">
        <w:t xml:space="preserve"> teismų sistemos </w:t>
      </w:r>
      <w:r w:rsidRPr="0079789A">
        <w:lastRenderedPageBreak/>
        <w:t>interneto svetain</w:t>
      </w:r>
      <w:r>
        <w:t>ę</w:t>
      </w:r>
      <w:r w:rsidRPr="0079789A">
        <w:t xml:space="preserve">. Visos apklausoje dalyvavusios šalys teigė, jog skelbia teismo sprendimus internete (interneto svetainėje). Paprastai sprendimus skelbia patys teismai, kai kuriose šalyse ši funkcija patikėta privačioms institucijoms. Pavyzdžiui, Italijoje prie Aukščiausiojo Teismo yra </w:t>
      </w:r>
      <w:r>
        <w:t>įsteigtas specialus centras, kurio viena pagrindinių funkcijų – procesinių teismų sprendimų apibendrinimų kūrimas</w:t>
      </w:r>
      <w:r w:rsidRPr="0079789A">
        <w:t>.</w:t>
      </w:r>
    </w:p>
    <w:p w:rsidR="00A76F77" w:rsidRPr="0079789A" w:rsidRDefault="00A76F77" w:rsidP="000A1448">
      <w:pPr>
        <w:spacing w:before="100" w:beforeAutospacing="1" w:after="100" w:afterAutospacing="1" w:line="240" w:lineRule="atLeast"/>
        <w:jc w:val="both"/>
      </w:pPr>
      <w:r>
        <w:t xml:space="preserve">Įvertinus valstybių praktiką, matyti, </w:t>
      </w:r>
      <w:r w:rsidRPr="0079789A">
        <w:t xml:space="preserve">jog </w:t>
      </w:r>
      <w:r>
        <w:t xml:space="preserve">procesiniai </w:t>
      </w:r>
      <w:r w:rsidRPr="0079789A">
        <w:t>teism</w:t>
      </w:r>
      <w:r>
        <w:t>ų</w:t>
      </w:r>
      <w:r w:rsidRPr="0079789A">
        <w:t xml:space="preserve"> sprendimai internete dažniausiai skelbiami trimis būdais:</w:t>
      </w:r>
    </w:p>
    <w:p w:rsidR="00A76F77" w:rsidRPr="0079789A" w:rsidRDefault="00A76F77" w:rsidP="002D1048">
      <w:pPr>
        <w:pStyle w:val="ListParagraph"/>
        <w:numPr>
          <w:ilvl w:val="0"/>
          <w:numId w:val="6"/>
        </w:numPr>
        <w:spacing w:before="120" w:after="100" w:afterAutospacing="1" w:line="240" w:lineRule="atLeast"/>
        <w:ind w:left="765" w:hanging="357"/>
        <w:contextualSpacing w:val="0"/>
        <w:jc w:val="both"/>
        <w:rPr>
          <w:rFonts w:ascii="Times New Roman" w:hAnsi="Times New Roman"/>
          <w:sz w:val="24"/>
          <w:szCs w:val="24"/>
          <w:lang w:val="lt-LT"/>
        </w:rPr>
      </w:pPr>
      <w:r>
        <w:rPr>
          <w:rFonts w:ascii="Times New Roman" w:hAnsi="Times New Roman"/>
          <w:sz w:val="24"/>
          <w:szCs w:val="24"/>
          <w:lang w:val="lt-LT"/>
        </w:rPr>
        <w:t>Naudojama valstybinė sistema – teismų s</w:t>
      </w:r>
      <w:r w:rsidRPr="0079789A">
        <w:rPr>
          <w:rFonts w:ascii="Times New Roman" w:hAnsi="Times New Roman"/>
          <w:sz w:val="24"/>
          <w:szCs w:val="24"/>
          <w:lang w:val="lt-LT"/>
        </w:rPr>
        <w:t>prendimai ske</w:t>
      </w:r>
      <w:r>
        <w:rPr>
          <w:rFonts w:ascii="Times New Roman" w:hAnsi="Times New Roman"/>
          <w:sz w:val="24"/>
          <w:szCs w:val="24"/>
          <w:lang w:val="lt-LT"/>
        </w:rPr>
        <w:t>lbiami ministerijų interneto</w:t>
      </w:r>
      <w:r w:rsidRPr="0079789A">
        <w:rPr>
          <w:rFonts w:ascii="Times New Roman" w:hAnsi="Times New Roman"/>
          <w:sz w:val="24"/>
          <w:szCs w:val="24"/>
          <w:lang w:val="lt-LT"/>
        </w:rPr>
        <w:t xml:space="preserve"> svetainėse</w:t>
      </w:r>
      <w:r>
        <w:rPr>
          <w:rFonts w:ascii="Times New Roman" w:hAnsi="Times New Roman"/>
          <w:sz w:val="24"/>
          <w:szCs w:val="24"/>
          <w:lang w:val="lt-LT"/>
        </w:rPr>
        <w:t xml:space="preserve">, kadangi patys </w:t>
      </w:r>
      <w:r w:rsidRPr="0079789A">
        <w:rPr>
          <w:rFonts w:ascii="Times New Roman" w:hAnsi="Times New Roman"/>
          <w:sz w:val="24"/>
          <w:szCs w:val="24"/>
          <w:lang w:val="lt-LT"/>
        </w:rPr>
        <w:t xml:space="preserve">teismai neturi </w:t>
      </w:r>
      <w:r>
        <w:rPr>
          <w:rFonts w:ascii="Times New Roman" w:hAnsi="Times New Roman"/>
          <w:sz w:val="24"/>
          <w:szCs w:val="24"/>
          <w:lang w:val="lt-LT"/>
        </w:rPr>
        <w:t>tokių svetainių.</w:t>
      </w:r>
    </w:p>
    <w:p w:rsidR="00A76F77" w:rsidRPr="00DE681F" w:rsidRDefault="00A76F77" w:rsidP="002D1048">
      <w:pPr>
        <w:pStyle w:val="ListParagraph"/>
        <w:numPr>
          <w:ilvl w:val="0"/>
          <w:numId w:val="6"/>
        </w:numPr>
        <w:spacing w:before="120" w:after="100" w:afterAutospacing="1" w:line="240" w:lineRule="atLeast"/>
        <w:ind w:left="765" w:hanging="357"/>
        <w:contextualSpacing w:val="0"/>
        <w:jc w:val="both"/>
        <w:rPr>
          <w:rFonts w:ascii="Times New Roman" w:hAnsi="Times New Roman"/>
          <w:sz w:val="24"/>
          <w:szCs w:val="24"/>
          <w:lang w:val="lt-LT"/>
        </w:rPr>
      </w:pPr>
      <w:r>
        <w:rPr>
          <w:rFonts w:ascii="Times New Roman" w:hAnsi="Times New Roman"/>
          <w:sz w:val="24"/>
          <w:szCs w:val="24"/>
          <w:lang w:val="lt-LT"/>
        </w:rPr>
        <w:t>Naudojama privati sistema – teismų sprendimai skelbiami</w:t>
      </w:r>
      <w:r w:rsidRPr="0079789A">
        <w:rPr>
          <w:rFonts w:ascii="Times New Roman" w:hAnsi="Times New Roman"/>
          <w:sz w:val="24"/>
          <w:szCs w:val="24"/>
          <w:lang w:val="lt-LT"/>
        </w:rPr>
        <w:t xml:space="preserve"> privačios</w:t>
      </w:r>
      <w:r>
        <w:rPr>
          <w:rFonts w:ascii="Times New Roman" w:hAnsi="Times New Roman"/>
          <w:sz w:val="24"/>
          <w:szCs w:val="24"/>
          <w:lang w:val="lt-LT"/>
        </w:rPr>
        <w:t>e interneto</w:t>
      </w:r>
      <w:r w:rsidRPr="0079789A">
        <w:rPr>
          <w:rFonts w:ascii="Times New Roman" w:hAnsi="Times New Roman"/>
          <w:sz w:val="24"/>
          <w:szCs w:val="24"/>
          <w:lang w:val="lt-LT"/>
        </w:rPr>
        <w:t xml:space="preserve"> svetainės</w:t>
      </w:r>
      <w:r>
        <w:rPr>
          <w:rFonts w:ascii="Times New Roman" w:hAnsi="Times New Roman"/>
          <w:sz w:val="24"/>
          <w:szCs w:val="24"/>
          <w:lang w:val="lt-LT"/>
        </w:rPr>
        <w:t>e</w:t>
      </w:r>
      <w:r w:rsidRPr="0079789A">
        <w:rPr>
          <w:rFonts w:ascii="Times New Roman" w:hAnsi="Times New Roman"/>
          <w:sz w:val="24"/>
          <w:szCs w:val="24"/>
          <w:lang w:val="lt-LT"/>
        </w:rPr>
        <w:t xml:space="preserve">. </w:t>
      </w:r>
      <w:r w:rsidRPr="00DE681F">
        <w:rPr>
          <w:rFonts w:ascii="Times New Roman" w:hAnsi="Times New Roman"/>
          <w:sz w:val="24"/>
          <w:szCs w:val="24"/>
          <w:lang w:val="lt-LT"/>
        </w:rPr>
        <w:t xml:space="preserve">Už prieigą prie informacijos tokiose svetainėse paprastai reikalaujama mokesčio. </w:t>
      </w:r>
    </w:p>
    <w:p w:rsidR="00A76F77" w:rsidRPr="00D05C48" w:rsidRDefault="00A76F77" w:rsidP="002D1048">
      <w:pPr>
        <w:pStyle w:val="ListParagraph"/>
        <w:numPr>
          <w:ilvl w:val="0"/>
          <w:numId w:val="6"/>
        </w:numPr>
        <w:spacing w:before="120" w:after="100" w:afterAutospacing="1" w:line="240" w:lineRule="atLeast"/>
        <w:ind w:left="765" w:hanging="357"/>
        <w:contextualSpacing w:val="0"/>
        <w:jc w:val="both"/>
        <w:rPr>
          <w:rFonts w:ascii="Times New Roman" w:hAnsi="Times New Roman"/>
          <w:sz w:val="24"/>
          <w:szCs w:val="24"/>
          <w:lang w:val="lt-LT"/>
        </w:rPr>
      </w:pPr>
      <w:r w:rsidRPr="00DE681F">
        <w:rPr>
          <w:rFonts w:ascii="Times New Roman" w:hAnsi="Times New Roman"/>
          <w:sz w:val="24"/>
          <w:szCs w:val="24"/>
          <w:lang w:val="lt-LT"/>
        </w:rPr>
        <w:t>Na</w:t>
      </w:r>
      <w:r>
        <w:rPr>
          <w:rFonts w:ascii="Times New Roman" w:hAnsi="Times New Roman"/>
          <w:sz w:val="24"/>
          <w:szCs w:val="24"/>
          <w:lang w:val="lt-LT"/>
        </w:rPr>
        <w:t>udojama teismų sistema – tai p</w:t>
      </w:r>
      <w:r w:rsidRPr="00DE681F">
        <w:rPr>
          <w:rFonts w:ascii="Times New Roman" w:hAnsi="Times New Roman"/>
          <w:sz w:val="24"/>
          <w:szCs w:val="24"/>
          <w:lang w:val="lt-LT"/>
        </w:rPr>
        <w:t>opuliariausia praktika šalyse</w:t>
      </w:r>
      <w:r>
        <w:rPr>
          <w:rFonts w:ascii="Times New Roman" w:hAnsi="Times New Roman"/>
          <w:sz w:val="24"/>
          <w:szCs w:val="24"/>
          <w:lang w:val="lt-LT"/>
        </w:rPr>
        <w:t>, kai</w:t>
      </w:r>
      <w:r w:rsidRPr="00DE681F">
        <w:rPr>
          <w:rFonts w:ascii="Times New Roman" w:hAnsi="Times New Roman"/>
          <w:sz w:val="24"/>
          <w:szCs w:val="24"/>
          <w:lang w:val="lt-LT"/>
        </w:rPr>
        <w:t xml:space="preserve"> teismų (teismo)</w:t>
      </w:r>
      <w:r>
        <w:rPr>
          <w:rFonts w:ascii="Times New Roman" w:hAnsi="Times New Roman"/>
          <w:sz w:val="24"/>
          <w:szCs w:val="24"/>
          <w:lang w:val="lt-LT"/>
        </w:rPr>
        <w:t xml:space="preserve"> sprendimai skelbiami</w:t>
      </w:r>
      <w:r w:rsidRPr="00DE681F">
        <w:rPr>
          <w:rFonts w:ascii="Times New Roman" w:hAnsi="Times New Roman"/>
          <w:sz w:val="24"/>
          <w:szCs w:val="24"/>
          <w:lang w:val="lt-LT"/>
        </w:rPr>
        <w:t xml:space="preserve"> </w:t>
      </w:r>
      <w:r>
        <w:rPr>
          <w:rFonts w:ascii="Times New Roman" w:hAnsi="Times New Roman"/>
          <w:sz w:val="24"/>
          <w:szCs w:val="24"/>
          <w:lang w:val="lt-LT"/>
        </w:rPr>
        <w:t xml:space="preserve">teismų (teismo) </w:t>
      </w:r>
      <w:r w:rsidRPr="00DE681F">
        <w:rPr>
          <w:rFonts w:ascii="Times New Roman" w:hAnsi="Times New Roman"/>
          <w:sz w:val="24"/>
          <w:szCs w:val="24"/>
          <w:lang w:val="lt-LT"/>
        </w:rPr>
        <w:t xml:space="preserve">interneto </w:t>
      </w:r>
      <w:r>
        <w:rPr>
          <w:rFonts w:ascii="Times New Roman" w:hAnsi="Times New Roman"/>
          <w:sz w:val="24"/>
          <w:szCs w:val="24"/>
          <w:lang w:val="lt-LT"/>
        </w:rPr>
        <w:t xml:space="preserve">svetainėje. </w:t>
      </w:r>
      <w:r w:rsidRPr="00D05C48">
        <w:rPr>
          <w:rFonts w:ascii="Times New Roman" w:hAnsi="Times New Roman"/>
          <w:sz w:val="24"/>
          <w:szCs w:val="24"/>
          <w:lang w:val="lt-LT"/>
        </w:rPr>
        <w:t>Informacija</w:t>
      </w:r>
      <w:r>
        <w:rPr>
          <w:rFonts w:ascii="Times New Roman" w:hAnsi="Times New Roman"/>
          <w:sz w:val="24"/>
          <w:szCs w:val="24"/>
          <w:lang w:val="lt-LT"/>
        </w:rPr>
        <w:t>,</w:t>
      </w:r>
      <w:r w:rsidRPr="00D05C48">
        <w:rPr>
          <w:rFonts w:ascii="Times New Roman" w:hAnsi="Times New Roman"/>
          <w:sz w:val="24"/>
          <w:szCs w:val="24"/>
          <w:lang w:val="lt-LT"/>
        </w:rPr>
        <w:t xml:space="preserve"> paskelbta tokiose duomenų bazėse</w:t>
      </w:r>
      <w:r>
        <w:rPr>
          <w:rFonts w:ascii="Times New Roman" w:hAnsi="Times New Roman"/>
          <w:sz w:val="24"/>
          <w:szCs w:val="24"/>
          <w:lang w:val="lt-LT"/>
        </w:rPr>
        <w:t>,</w:t>
      </w:r>
      <w:r w:rsidRPr="00D05C48">
        <w:rPr>
          <w:rFonts w:ascii="Times New Roman" w:hAnsi="Times New Roman"/>
          <w:sz w:val="24"/>
          <w:szCs w:val="24"/>
          <w:lang w:val="lt-LT"/>
        </w:rPr>
        <w:t xml:space="preserve"> yra lengvai prieinama tiek visuomenei, tiek ir profesionalams (teisininkams). Be to</w:t>
      </w:r>
      <w:r>
        <w:rPr>
          <w:rFonts w:ascii="Times New Roman" w:hAnsi="Times New Roman"/>
          <w:sz w:val="24"/>
          <w:szCs w:val="24"/>
          <w:lang w:val="lt-LT"/>
        </w:rPr>
        <w:t>,</w:t>
      </w:r>
      <w:r w:rsidRPr="00D05C48">
        <w:rPr>
          <w:rFonts w:ascii="Times New Roman" w:hAnsi="Times New Roman"/>
          <w:sz w:val="24"/>
          <w:szCs w:val="24"/>
          <w:lang w:val="lt-LT"/>
        </w:rPr>
        <w:t xml:space="preserve"> informacija jose pasiekiama nemokamai.</w:t>
      </w:r>
    </w:p>
    <w:p w:rsidR="00A76F77" w:rsidRPr="0079789A" w:rsidRDefault="00A76F77" w:rsidP="000A1448">
      <w:pPr>
        <w:spacing w:before="100" w:beforeAutospacing="1" w:after="100" w:afterAutospacing="1" w:line="240" w:lineRule="atLeast"/>
        <w:jc w:val="both"/>
      </w:pPr>
      <w:r w:rsidRPr="0079789A">
        <w:t xml:space="preserve">ETTT darbo grupė pabrėžė, </w:t>
      </w:r>
      <w:r w:rsidR="00333C6C">
        <w:t>jog</w:t>
      </w:r>
      <w:r w:rsidRPr="00B86335">
        <w:t xml:space="preserve"> </w:t>
      </w:r>
      <w:r>
        <w:t>kad ir</w:t>
      </w:r>
      <w:r w:rsidRPr="00B86335">
        <w:t xml:space="preserve"> kokiu būdu</w:t>
      </w:r>
      <w:r w:rsidRPr="0079789A">
        <w:t xml:space="preserve"> </w:t>
      </w:r>
      <w:r>
        <w:t xml:space="preserve">procesiniai </w:t>
      </w:r>
      <w:r w:rsidRPr="0079789A">
        <w:t>teismų sprendimai yra skelbiami, labai svarbu, jog juos skelbiant nebūtų pažeistas teismų / teisėjų nepriklausomumas. Siekiant užtikrinti teismų ir teisėjų nepriklausomumą, interneto svetainės, kuriose skelbiami teismo sprendimai</w:t>
      </w:r>
      <w:r>
        <w:t>,</w:t>
      </w:r>
      <w:r w:rsidRPr="0079789A">
        <w:t xml:space="preserve"> turi būti Teisėjų tarybos, Nacionalinės teismų administracijos žinioje (prižiūr</w:t>
      </w:r>
      <w:r>
        <w:t>imos</w:t>
      </w:r>
      <w:r w:rsidRPr="0079789A">
        <w:t>). Taigi teismų sprendimai turėtų būti skelbiami teismo (</w:t>
      </w:r>
      <w:r>
        <w:t>ar bendros</w:t>
      </w:r>
      <w:r w:rsidRPr="0079789A">
        <w:t xml:space="preserve"> teismų sistemos) interneto svetainėje, o ne ministerijų ar privačiose interneto svetainėse.</w:t>
      </w:r>
    </w:p>
    <w:p w:rsidR="00A76F77" w:rsidRPr="0079789A" w:rsidRDefault="00A76F77" w:rsidP="000A1448">
      <w:pPr>
        <w:spacing w:before="100" w:beforeAutospacing="1" w:after="100" w:afterAutospacing="1" w:line="240" w:lineRule="atLeast"/>
        <w:jc w:val="both"/>
      </w:pPr>
      <w:r w:rsidRPr="0079789A">
        <w:t xml:space="preserve">Jeigu šalyje veikia bendroji teismų sistemos interneto svetainė, joje gali būti sukurtos atskiros paskyros kiekvienam teismui. Šiose paskyrose </w:t>
      </w:r>
      <w:r>
        <w:t>dedama</w:t>
      </w:r>
      <w:r w:rsidRPr="0079789A">
        <w:t xml:space="preserve"> aktuali, tik su šiuo konkrečiu teismu susijusi informacija. Atkreiptinas dėmesys, kad paskyrose turėtų būti </w:t>
      </w:r>
      <w:r>
        <w:t>dedama</w:t>
      </w:r>
      <w:r w:rsidRPr="0079789A">
        <w:t xml:space="preserve"> informacija, skirta tiek profesionalams (teisininkams), tiek visuomenės informavimo priemonių atstovams ir plačiajai visuomenei. Siekiant padidinti teismų veiklos skaidrumą ir nuoseklumą, rekomenduojama interneto svetainėse </w:t>
      </w:r>
      <w:r>
        <w:t>teikti</w:t>
      </w:r>
      <w:r w:rsidRPr="0079789A">
        <w:t xml:space="preserve"> vienodo pobūdžio informaciją, skelbiamą pagal iš anksto paruoštą bendrą formatą, kuris vienodai struktūrizuotų publikuojamus pranešimus. </w:t>
      </w:r>
    </w:p>
    <w:p w:rsidR="00A76F77" w:rsidRPr="0079789A" w:rsidRDefault="00A76F77" w:rsidP="000A1448">
      <w:pPr>
        <w:spacing w:before="100" w:beforeAutospacing="1" w:after="100" w:afterAutospacing="1" w:line="240" w:lineRule="atLeast"/>
        <w:jc w:val="both"/>
      </w:pPr>
      <w:r w:rsidRPr="0079789A">
        <w:t>ETTT darbo grupė pateikė rekomendaciją, kad šiose interneto svetainėse būtų skelbiama bent jau tokia informacija (minimalus standartas):</w:t>
      </w:r>
    </w:p>
    <w:p w:rsidR="00A76F77" w:rsidRPr="0079789A" w:rsidRDefault="00A76F77" w:rsidP="002D1048">
      <w:pPr>
        <w:pStyle w:val="ListParagraph"/>
        <w:numPr>
          <w:ilvl w:val="0"/>
          <w:numId w:val="8"/>
        </w:numPr>
        <w:spacing w:before="120" w:after="100" w:afterAutospacing="1" w:line="240" w:lineRule="atLeast"/>
        <w:ind w:left="714" w:hanging="357"/>
        <w:contextualSpacing w:val="0"/>
        <w:jc w:val="both"/>
        <w:rPr>
          <w:rFonts w:ascii="Times New Roman" w:hAnsi="Times New Roman"/>
          <w:sz w:val="24"/>
          <w:szCs w:val="24"/>
          <w:lang w:val="fi-FI"/>
        </w:rPr>
      </w:pPr>
      <w:proofErr w:type="spellStart"/>
      <w:r>
        <w:rPr>
          <w:rFonts w:ascii="Times New Roman" w:hAnsi="Times New Roman"/>
          <w:sz w:val="24"/>
          <w:szCs w:val="24"/>
          <w:lang w:val="fi-FI"/>
        </w:rPr>
        <w:t>bendra</w:t>
      </w:r>
      <w:proofErr w:type="spellEnd"/>
      <w:r>
        <w:rPr>
          <w:rFonts w:ascii="Times New Roman" w:hAnsi="Times New Roman"/>
          <w:sz w:val="24"/>
          <w:szCs w:val="24"/>
          <w:lang w:val="fi-FI"/>
        </w:rPr>
        <w:t xml:space="preserve"> </w:t>
      </w:r>
      <w:proofErr w:type="spellStart"/>
      <w:r>
        <w:rPr>
          <w:rFonts w:ascii="Times New Roman" w:hAnsi="Times New Roman"/>
          <w:sz w:val="24"/>
          <w:szCs w:val="24"/>
          <w:lang w:val="fi-FI"/>
        </w:rPr>
        <w:t>informacija</w:t>
      </w:r>
      <w:proofErr w:type="spellEnd"/>
      <w:r>
        <w:rPr>
          <w:rFonts w:ascii="Times New Roman" w:hAnsi="Times New Roman"/>
          <w:sz w:val="24"/>
          <w:szCs w:val="24"/>
          <w:lang w:val="fi-FI"/>
        </w:rPr>
        <w:t xml:space="preserve"> </w:t>
      </w:r>
      <w:proofErr w:type="spellStart"/>
      <w:r>
        <w:rPr>
          <w:rFonts w:ascii="Times New Roman" w:hAnsi="Times New Roman"/>
          <w:sz w:val="24"/>
          <w:szCs w:val="24"/>
          <w:lang w:val="fi-FI"/>
        </w:rPr>
        <w:t>apie</w:t>
      </w:r>
      <w:proofErr w:type="spellEnd"/>
      <w:r>
        <w:rPr>
          <w:rFonts w:ascii="Times New Roman" w:hAnsi="Times New Roman"/>
          <w:sz w:val="24"/>
          <w:szCs w:val="24"/>
          <w:lang w:val="fi-FI"/>
        </w:rPr>
        <w:t xml:space="preserve"> </w:t>
      </w:r>
      <w:proofErr w:type="spellStart"/>
      <w:r>
        <w:rPr>
          <w:rFonts w:ascii="Times New Roman" w:hAnsi="Times New Roman"/>
          <w:sz w:val="24"/>
          <w:szCs w:val="24"/>
          <w:lang w:val="fi-FI"/>
        </w:rPr>
        <w:t>teismą</w:t>
      </w:r>
      <w:proofErr w:type="spellEnd"/>
      <w:r>
        <w:rPr>
          <w:rFonts w:ascii="Times New Roman" w:hAnsi="Times New Roman"/>
          <w:sz w:val="24"/>
          <w:szCs w:val="24"/>
          <w:lang w:val="fi-FI"/>
        </w:rPr>
        <w:t xml:space="preserve"> ir jo</w:t>
      </w:r>
      <w:r w:rsidRPr="0079789A">
        <w:rPr>
          <w:rFonts w:ascii="Times New Roman" w:hAnsi="Times New Roman"/>
          <w:sz w:val="24"/>
          <w:szCs w:val="24"/>
          <w:lang w:val="fi-FI"/>
        </w:rPr>
        <w:t xml:space="preserve"> </w:t>
      </w:r>
      <w:proofErr w:type="spellStart"/>
      <w:r w:rsidRPr="0079789A">
        <w:rPr>
          <w:rFonts w:ascii="Times New Roman" w:hAnsi="Times New Roman"/>
          <w:sz w:val="24"/>
          <w:szCs w:val="24"/>
          <w:lang w:val="fi-FI"/>
        </w:rPr>
        <w:t>teikiamas</w:t>
      </w:r>
      <w:proofErr w:type="spellEnd"/>
      <w:r w:rsidRPr="0079789A">
        <w:rPr>
          <w:rFonts w:ascii="Times New Roman" w:hAnsi="Times New Roman"/>
          <w:sz w:val="24"/>
          <w:szCs w:val="24"/>
          <w:lang w:val="fi-FI"/>
        </w:rPr>
        <w:t xml:space="preserve"> </w:t>
      </w:r>
      <w:proofErr w:type="spellStart"/>
      <w:r w:rsidRPr="0079789A">
        <w:rPr>
          <w:rFonts w:ascii="Times New Roman" w:hAnsi="Times New Roman"/>
          <w:sz w:val="24"/>
          <w:szCs w:val="24"/>
          <w:lang w:val="fi-FI"/>
        </w:rPr>
        <w:t>paslaugas</w:t>
      </w:r>
      <w:proofErr w:type="spellEnd"/>
      <w:r w:rsidRPr="0079789A">
        <w:rPr>
          <w:rFonts w:ascii="Times New Roman" w:hAnsi="Times New Roman"/>
          <w:sz w:val="24"/>
          <w:szCs w:val="24"/>
          <w:lang w:val="fi-FI"/>
        </w:rPr>
        <w:t>;</w:t>
      </w:r>
    </w:p>
    <w:p w:rsidR="00A76F77" w:rsidRPr="0079789A" w:rsidRDefault="00A76F77" w:rsidP="002D1048">
      <w:pPr>
        <w:pStyle w:val="ListParagraph"/>
        <w:numPr>
          <w:ilvl w:val="0"/>
          <w:numId w:val="8"/>
        </w:numPr>
        <w:spacing w:before="120" w:after="100" w:afterAutospacing="1" w:line="240" w:lineRule="atLeast"/>
        <w:ind w:left="714" w:hanging="357"/>
        <w:contextualSpacing w:val="0"/>
        <w:jc w:val="both"/>
        <w:rPr>
          <w:rFonts w:ascii="Times New Roman" w:hAnsi="Times New Roman"/>
          <w:sz w:val="24"/>
          <w:szCs w:val="24"/>
        </w:rPr>
      </w:pPr>
      <w:r>
        <w:rPr>
          <w:rFonts w:ascii="Times New Roman" w:hAnsi="Times New Roman"/>
          <w:sz w:val="24"/>
          <w:szCs w:val="24"/>
          <w:lang w:val="lt-LT"/>
        </w:rPr>
        <w:t>praktinė informacija proces</w:t>
      </w:r>
      <w:r w:rsidRPr="0079789A">
        <w:rPr>
          <w:rFonts w:ascii="Times New Roman" w:hAnsi="Times New Roman"/>
          <w:sz w:val="24"/>
          <w:szCs w:val="24"/>
          <w:lang w:val="lt-LT"/>
        </w:rPr>
        <w:t>o dalyviams;</w:t>
      </w:r>
    </w:p>
    <w:p w:rsidR="00A76F77" w:rsidRPr="0079789A" w:rsidRDefault="00A76F77" w:rsidP="002D1048">
      <w:pPr>
        <w:pStyle w:val="ListParagraph"/>
        <w:numPr>
          <w:ilvl w:val="0"/>
          <w:numId w:val="8"/>
        </w:numPr>
        <w:spacing w:before="120" w:after="100" w:afterAutospacing="1" w:line="240" w:lineRule="atLeast"/>
        <w:ind w:left="714" w:hanging="357"/>
        <w:contextualSpacing w:val="0"/>
        <w:jc w:val="both"/>
        <w:rPr>
          <w:rFonts w:ascii="Times New Roman" w:hAnsi="Times New Roman"/>
          <w:sz w:val="24"/>
          <w:szCs w:val="24"/>
          <w:lang w:val="fi-FI"/>
        </w:rPr>
      </w:pPr>
      <w:r>
        <w:rPr>
          <w:rFonts w:ascii="Times New Roman" w:hAnsi="Times New Roman"/>
          <w:sz w:val="24"/>
          <w:szCs w:val="24"/>
          <w:lang w:val="lt-LT"/>
        </w:rPr>
        <w:t>t</w:t>
      </w:r>
      <w:r w:rsidRPr="0079789A">
        <w:rPr>
          <w:rFonts w:ascii="Times New Roman" w:hAnsi="Times New Roman"/>
          <w:sz w:val="24"/>
          <w:szCs w:val="24"/>
          <w:lang w:val="lt-LT"/>
        </w:rPr>
        <w:t>eismo posėdžių tvarkaraštis;</w:t>
      </w:r>
    </w:p>
    <w:p w:rsidR="00A76F77" w:rsidRPr="0079789A" w:rsidRDefault="00A76F77" w:rsidP="002D1048">
      <w:pPr>
        <w:pStyle w:val="ListParagraph"/>
        <w:numPr>
          <w:ilvl w:val="0"/>
          <w:numId w:val="8"/>
        </w:numPr>
        <w:spacing w:before="120" w:after="100" w:afterAutospacing="1" w:line="240" w:lineRule="atLeast"/>
        <w:ind w:left="714" w:hanging="357"/>
        <w:contextualSpacing w:val="0"/>
        <w:jc w:val="both"/>
        <w:rPr>
          <w:rFonts w:ascii="Times New Roman" w:hAnsi="Times New Roman"/>
          <w:sz w:val="24"/>
          <w:szCs w:val="24"/>
          <w:lang w:val="fi-FI"/>
        </w:rPr>
      </w:pPr>
      <w:r>
        <w:rPr>
          <w:rFonts w:ascii="Times New Roman" w:hAnsi="Times New Roman"/>
          <w:sz w:val="24"/>
          <w:szCs w:val="24"/>
          <w:lang w:val="lt-LT"/>
        </w:rPr>
        <w:t>i</w:t>
      </w:r>
      <w:r w:rsidRPr="0079789A">
        <w:rPr>
          <w:rFonts w:ascii="Times New Roman" w:hAnsi="Times New Roman"/>
          <w:sz w:val="24"/>
          <w:szCs w:val="24"/>
          <w:lang w:val="lt-LT"/>
        </w:rPr>
        <w:t>nformacija apie prisiekusiųjų</w:t>
      </w:r>
      <w:r w:rsidRPr="0079789A">
        <w:rPr>
          <w:rStyle w:val="FootnoteReference"/>
          <w:rFonts w:ascii="Times New Roman" w:hAnsi="Times New Roman"/>
          <w:sz w:val="24"/>
          <w:szCs w:val="24"/>
          <w:lang w:val="lt-LT"/>
        </w:rPr>
        <w:footnoteReference w:id="5"/>
      </w:r>
      <w:r w:rsidRPr="0079789A">
        <w:rPr>
          <w:rFonts w:ascii="Times New Roman" w:hAnsi="Times New Roman"/>
          <w:sz w:val="24"/>
          <w:szCs w:val="24"/>
          <w:lang w:val="lt-LT"/>
        </w:rPr>
        <w:t xml:space="preserve"> pareigas (jeigu taikoma);</w:t>
      </w:r>
    </w:p>
    <w:p w:rsidR="00A76F77" w:rsidRPr="0079789A" w:rsidRDefault="00A76F77" w:rsidP="002D1048">
      <w:pPr>
        <w:pStyle w:val="ListParagraph"/>
        <w:numPr>
          <w:ilvl w:val="0"/>
          <w:numId w:val="8"/>
        </w:numPr>
        <w:spacing w:before="120" w:after="100" w:afterAutospacing="1" w:line="240" w:lineRule="atLeast"/>
        <w:ind w:left="714" w:hanging="357"/>
        <w:contextualSpacing w:val="0"/>
        <w:jc w:val="both"/>
        <w:rPr>
          <w:rFonts w:ascii="Times New Roman" w:hAnsi="Times New Roman"/>
          <w:sz w:val="24"/>
          <w:szCs w:val="24"/>
        </w:rPr>
      </w:pPr>
      <w:r>
        <w:rPr>
          <w:rFonts w:ascii="Times New Roman" w:hAnsi="Times New Roman"/>
          <w:sz w:val="24"/>
          <w:szCs w:val="24"/>
          <w:lang w:val="lt-LT"/>
        </w:rPr>
        <w:t>t</w:t>
      </w:r>
      <w:r w:rsidRPr="0079789A">
        <w:rPr>
          <w:rFonts w:ascii="Times New Roman" w:hAnsi="Times New Roman"/>
          <w:sz w:val="24"/>
          <w:szCs w:val="24"/>
          <w:lang w:val="lt-LT"/>
        </w:rPr>
        <w:t>eisės aktai;</w:t>
      </w:r>
    </w:p>
    <w:p w:rsidR="00A76F77" w:rsidRPr="0079789A" w:rsidRDefault="00A76F77" w:rsidP="002D1048">
      <w:pPr>
        <w:pStyle w:val="ListParagraph"/>
        <w:numPr>
          <w:ilvl w:val="0"/>
          <w:numId w:val="8"/>
        </w:numPr>
        <w:spacing w:before="120" w:after="100" w:afterAutospacing="1" w:line="240" w:lineRule="atLeast"/>
        <w:ind w:left="714" w:hanging="357"/>
        <w:contextualSpacing w:val="0"/>
        <w:jc w:val="both"/>
        <w:rPr>
          <w:rFonts w:ascii="Times New Roman" w:hAnsi="Times New Roman"/>
          <w:sz w:val="24"/>
          <w:szCs w:val="24"/>
        </w:rPr>
      </w:pPr>
      <w:r>
        <w:rPr>
          <w:rFonts w:ascii="Times New Roman" w:hAnsi="Times New Roman"/>
          <w:sz w:val="24"/>
          <w:szCs w:val="24"/>
          <w:lang w:val="lt-LT"/>
        </w:rPr>
        <w:t>s</w:t>
      </w:r>
      <w:r w:rsidRPr="0079789A">
        <w:rPr>
          <w:rFonts w:ascii="Times New Roman" w:hAnsi="Times New Roman"/>
          <w:sz w:val="24"/>
          <w:szCs w:val="24"/>
          <w:lang w:val="lt-LT"/>
        </w:rPr>
        <w:t>paudos pranešimai;</w:t>
      </w:r>
    </w:p>
    <w:p w:rsidR="00A76F77" w:rsidRPr="0079789A" w:rsidRDefault="00A76F77" w:rsidP="002D1048">
      <w:pPr>
        <w:pStyle w:val="ListParagraph"/>
        <w:numPr>
          <w:ilvl w:val="0"/>
          <w:numId w:val="8"/>
        </w:numPr>
        <w:spacing w:before="120" w:after="100" w:afterAutospacing="1" w:line="240" w:lineRule="atLeast"/>
        <w:ind w:left="714" w:hanging="357"/>
        <w:contextualSpacing w:val="0"/>
        <w:jc w:val="both"/>
        <w:rPr>
          <w:rFonts w:ascii="Times New Roman" w:hAnsi="Times New Roman"/>
          <w:sz w:val="24"/>
          <w:szCs w:val="24"/>
        </w:rPr>
      </w:pPr>
      <w:r>
        <w:rPr>
          <w:rFonts w:ascii="Times New Roman" w:hAnsi="Times New Roman"/>
          <w:sz w:val="24"/>
          <w:szCs w:val="24"/>
          <w:lang w:val="lt-LT"/>
        </w:rPr>
        <w:t>t</w:t>
      </w:r>
      <w:r w:rsidRPr="0079789A">
        <w:rPr>
          <w:rFonts w:ascii="Times New Roman" w:hAnsi="Times New Roman"/>
          <w:sz w:val="24"/>
          <w:szCs w:val="24"/>
          <w:lang w:val="lt-LT"/>
        </w:rPr>
        <w:t>eismo sprendimai (sprendimų santraukos);</w:t>
      </w:r>
    </w:p>
    <w:p w:rsidR="00A76F77" w:rsidRPr="0079789A" w:rsidRDefault="00A76F77" w:rsidP="002D1048">
      <w:pPr>
        <w:pStyle w:val="ListParagraph"/>
        <w:numPr>
          <w:ilvl w:val="0"/>
          <w:numId w:val="8"/>
        </w:numPr>
        <w:spacing w:before="120" w:after="100" w:afterAutospacing="1" w:line="240" w:lineRule="atLeast"/>
        <w:ind w:left="714" w:hanging="357"/>
        <w:contextualSpacing w:val="0"/>
        <w:jc w:val="both"/>
        <w:rPr>
          <w:rFonts w:ascii="Times New Roman" w:hAnsi="Times New Roman"/>
          <w:sz w:val="24"/>
          <w:szCs w:val="24"/>
        </w:rPr>
      </w:pPr>
      <w:r>
        <w:rPr>
          <w:rFonts w:ascii="Times New Roman" w:hAnsi="Times New Roman"/>
          <w:sz w:val="24"/>
          <w:szCs w:val="24"/>
          <w:lang w:val="lt-LT"/>
        </w:rPr>
        <w:lastRenderedPageBreak/>
        <w:t>s</w:t>
      </w:r>
      <w:r w:rsidRPr="0079789A">
        <w:rPr>
          <w:rFonts w:ascii="Times New Roman" w:hAnsi="Times New Roman"/>
          <w:sz w:val="24"/>
          <w:szCs w:val="24"/>
          <w:lang w:val="lt-LT"/>
        </w:rPr>
        <w:t>pecialios formos;</w:t>
      </w:r>
    </w:p>
    <w:p w:rsidR="00A76F77" w:rsidRPr="0079789A" w:rsidRDefault="00A76F77" w:rsidP="002D1048">
      <w:pPr>
        <w:pStyle w:val="ListParagraph"/>
        <w:numPr>
          <w:ilvl w:val="0"/>
          <w:numId w:val="8"/>
        </w:numPr>
        <w:spacing w:before="120" w:after="100" w:afterAutospacing="1" w:line="240" w:lineRule="atLeast"/>
        <w:ind w:left="714" w:hanging="357"/>
        <w:contextualSpacing w:val="0"/>
        <w:jc w:val="both"/>
        <w:rPr>
          <w:rFonts w:ascii="Times New Roman" w:hAnsi="Times New Roman"/>
          <w:sz w:val="24"/>
          <w:szCs w:val="24"/>
        </w:rPr>
      </w:pPr>
      <w:r>
        <w:rPr>
          <w:rFonts w:ascii="Times New Roman" w:hAnsi="Times New Roman"/>
          <w:sz w:val="24"/>
          <w:szCs w:val="24"/>
          <w:lang w:val="lt-LT"/>
        </w:rPr>
        <w:t>i</w:t>
      </w:r>
      <w:r w:rsidRPr="0079789A">
        <w:rPr>
          <w:rFonts w:ascii="Times New Roman" w:hAnsi="Times New Roman"/>
          <w:sz w:val="24"/>
          <w:szCs w:val="24"/>
          <w:lang w:val="lt-LT"/>
        </w:rPr>
        <w:t>nformacija apie karjeros galimybes.</w:t>
      </w:r>
    </w:p>
    <w:p w:rsidR="00A76F77" w:rsidRDefault="00A76F77" w:rsidP="009C0389">
      <w:pPr>
        <w:spacing w:before="100" w:beforeAutospacing="1" w:after="100" w:afterAutospacing="1" w:line="240" w:lineRule="atLeast"/>
        <w:jc w:val="both"/>
      </w:pPr>
      <w:proofErr w:type="spellStart"/>
      <w:proofErr w:type="gramStart"/>
      <w:r>
        <w:rPr>
          <w:lang w:val="en-US"/>
        </w:rPr>
        <w:t>T</w:t>
      </w:r>
      <w:r w:rsidRPr="00692CF7">
        <w:rPr>
          <w:lang w:val="en-US"/>
        </w:rPr>
        <w:t>eis</w:t>
      </w:r>
      <w:r w:rsidR="00A63270">
        <w:rPr>
          <w:lang w:val="en-US"/>
        </w:rPr>
        <w:t>mų</w:t>
      </w:r>
      <w:proofErr w:type="spellEnd"/>
      <w:r w:rsidR="00A63270">
        <w:rPr>
          <w:lang w:val="en-US"/>
        </w:rPr>
        <w:t xml:space="preserve"> </w:t>
      </w:r>
      <w:proofErr w:type="spellStart"/>
      <w:r>
        <w:rPr>
          <w:lang w:val="en-US"/>
        </w:rPr>
        <w:t>procesiniams</w:t>
      </w:r>
      <w:proofErr w:type="spellEnd"/>
      <w:r>
        <w:rPr>
          <w:lang w:val="en-US"/>
        </w:rPr>
        <w:t xml:space="preserve"> </w:t>
      </w:r>
      <w:proofErr w:type="spellStart"/>
      <w:r>
        <w:rPr>
          <w:lang w:val="en-US"/>
        </w:rPr>
        <w:t>sprendimams</w:t>
      </w:r>
      <w:proofErr w:type="spellEnd"/>
      <w:r w:rsidRPr="0079789A">
        <w:t xml:space="preserve"> skelb</w:t>
      </w:r>
      <w:r>
        <w:t>ti</w:t>
      </w:r>
      <w:r w:rsidRPr="0079789A">
        <w:t xml:space="preserve"> turėtų būti sukurta atskira duomenų bazė, kuri visuomenei būtų prieinama nemokamai.</w:t>
      </w:r>
      <w:proofErr w:type="gramEnd"/>
      <w:r w:rsidRPr="0079789A">
        <w:t xml:space="preserve"> Skelbiami teismų sprendimai turi būti suprantami tiek profesionalams (teisininkams), tiek ir kitiems visuomenės nariams. Pirmąją grupę paprastai domina teismų sprendimų teisiniai aspektai. Visuomenės informavimo priemonių bei visuomenės atstovai dažniausiai būna suinteresuoti rezonansinėmis bylomis. Tad duomenų bazėje</w:t>
      </w:r>
      <w:r>
        <w:t>, kurioje skelbiami procesiniai teismų sprendimai,</w:t>
      </w:r>
      <w:r w:rsidRPr="0079789A">
        <w:t xml:space="preserve"> turėtų būti įdiegta paieškos funkcija, veikianti rakt</w:t>
      </w:r>
      <w:r>
        <w:t xml:space="preserve">inių </w:t>
      </w:r>
      <w:r w:rsidRPr="0079789A">
        <w:t xml:space="preserve">žodžių pagrindu. </w:t>
      </w:r>
      <w:r>
        <w:t xml:space="preserve">Todėl </w:t>
      </w:r>
      <w:r w:rsidRPr="0079789A">
        <w:t xml:space="preserve">svarbu nurodyti bylos indeksą su raktažodžiu, kuris padėtų surasti papildomos informacijos duomenų bazėse. </w:t>
      </w:r>
    </w:p>
    <w:p w:rsidR="00A76F77" w:rsidRPr="002C52C5" w:rsidRDefault="00A76F77" w:rsidP="000A1448">
      <w:pPr>
        <w:spacing w:before="100" w:beforeAutospacing="1" w:after="100" w:afterAutospacing="1" w:line="240" w:lineRule="atLeast"/>
        <w:jc w:val="both"/>
      </w:pPr>
      <w:r>
        <w:t>ETTT darbo grupė pastebėjo, jog p</w:t>
      </w:r>
      <w:r w:rsidRPr="0079789A">
        <w:t xml:space="preserve">ageidautina, kad būtų skelbiami visi, kiek įmanoma (atsižvelgiant į teisės aktuose nustatytas išimtis), </w:t>
      </w:r>
      <w:r>
        <w:t xml:space="preserve">procesiniai </w:t>
      </w:r>
      <w:r w:rsidRPr="0079789A">
        <w:t xml:space="preserve">teismų sprendimai. </w:t>
      </w:r>
      <w:r>
        <w:t>Darbo grupė taip pat rekomendavo</w:t>
      </w:r>
      <w:r w:rsidRPr="0079789A">
        <w:t xml:space="preserve"> skelbti ir teismo nutarčių anotacijas. Jei teismo sprendimai yra skirti visuomenei ir visuomenės informavimo priemonių atstovams, rekomenduojama </w:t>
      </w:r>
      <w:r>
        <w:t>rengti sprendimų apibendrinimus, kad sprendimai būtų</w:t>
      </w:r>
      <w:r w:rsidRPr="0079789A">
        <w:t xml:space="preserve"> lengv</w:t>
      </w:r>
      <w:r>
        <w:t>iau</w:t>
      </w:r>
      <w:r w:rsidRPr="0079789A">
        <w:t xml:space="preserve"> skaitom</w:t>
      </w:r>
      <w:r>
        <w:t>i</w:t>
      </w:r>
      <w:r w:rsidRPr="0079789A">
        <w:t xml:space="preserve"> ir ger</w:t>
      </w:r>
      <w:r>
        <w:t>iau</w:t>
      </w:r>
      <w:r w:rsidRPr="0079789A">
        <w:t xml:space="preserve"> supra</w:t>
      </w:r>
      <w:r w:rsidR="00A11B72">
        <w:t>nta</w:t>
      </w:r>
      <w:r w:rsidRPr="0079789A">
        <w:t>m</w:t>
      </w:r>
      <w:r>
        <w:t>i. S</w:t>
      </w:r>
      <w:r w:rsidRPr="0079789A">
        <w:t xml:space="preserve">prendimai </w:t>
      </w:r>
      <w:r>
        <w:t>turėtų būtų</w:t>
      </w:r>
      <w:r w:rsidRPr="0079789A">
        <w:t xml:space="preserve"> aiškinami paprasta ir </w:t>
      </w:r>
      <w:r>
        <w:t>nesudėtinga</w:t>
      </w:r>
      <w:r w:rsidRPr="0079789A">
        <w:t xml:space="preserve"> kalba</w:t>
      </w:r>
      <w:r>
        <w:t>,</w:t>
      </w:r>
      <w:r w:rsidRPr="0079789A">
        <w:t xml:space="preserve"> </w:t>
      </w:r>
      <w:r>
        <w:t>reikėtų</w:t>
      </w:r>
      <w:r w:rsidRPr="0079789A">
        <w:t xml:space="preserve"> kuo mažiau </w:t>
      </w:r>
      <w:r>
        <w:t>vartoti labai s</w:t>
      </w:r>
      <w:r w:rsidR="00A11B72">
        <w:t>p</w:t>
      </w:r>
      <w:r>
        <w:t xml:space="preserve">ecialių </w:t>
      </w:r>
      <w:r w:rsidRPr="0079789A">
        <w:t xml:space="preserve">teisinių </w:t>
      </w:r>
      <w:r>
        <w:t>formuluočių</w:t>
      </w:r>
      <w:r w:rsidRPr="0079789A">
        <w:t>.</w:t>
      </w:r>
      <w:r>
        <w:rPr>
          <w:rStyle w:val="FootnoteReference"/>
        </w:rPr>
        <w:footnoteReference w:id="6"/>
      </w:r>
      <w:r w:rsidRPr="0079789A">
        <w:t xml:space="preserve"> </w:t>
      </w:r>
      <w:r>
        <w:t>Taip pat s</w:t>
      </w:r>
      <w:r w:rsidRPr="0079789A">
        <w:t xml:space="preserve">varbu, kad, skelbiant informaciją apie sprendimą, būtų pridedamas ir oficialus sprendimo variantas. </w:t>
      </w:r>
    </w:p>
    <w:p w:rsidR="00A76F77" w:rsidRPr="0079789A" w:rsidRDefault="00A76F77" w:rsidP="000A1448">
      <w:pPr>
        <w:spacing w:before="100" w:beforeAutospacing="1" w:after="100" w:afterAutospacing="1" w:line="240" w:lineRule="atLeast"/>
        <w:jc w:val="both"/>
      </w:pPr>
      <w:r w:rsidRPr="0079789A">
        <w:t xml:space="preserve">Tokie </w:t>
      </w:r>
      <w:r>
        <w:t xml:space="preserve">procesinių </w:t>
      </w:r>
      <w:r w:rsidRPr="0079789A">
        <w:t>teismų sprendimų apibendrinimai turėtų būti pateikiami kartu su oficialiu teismo sprendimo tekstu. Skelbiami sprendimų apibendrinimai turėtų būti nuasmeninami. Šalių praktikoje taip pat keliami tokių teismų sprendimų apibendrinimų teisinio statuso klausimai. ETTT darbo grupė išreiškė nuomonę, kad, jeigu teismo sprendimo apibendrinimą skelbia pats teismas, jis gali būti interpretuojamas kaip oficialus teismo dokume</w:t>
      </w:r>
      <w:r>
        <w:t>n</w:t>
      </w:r>
      <w:r w:rsidRPr="0079789A">
        <w:t xml:space="preserve">tas. </w:t>
      </w:r>
    </w:p>
    <w:p w:rsidR="00A76F77" w:rsidRPr="0079789A" w:rsidRDefault="00A76F77" w:rsidP="000A1448">
      <w:pPr>
        <w:spacing w:before="100" w:beforeAutospacing="1" w:after="100" w:afterAutospacing="1" w:line="240" w:lineRule="atLeast"/>
        <w:jc w:val="both"/>
      </w:pPr>
      <w:r w:rsidRPr="0079789A">
        <w:t>Žvelgiant į konkrečių valstybių praktiką, matyti, jog</w:t>
      </w:r>
      <w:r>
        <w:t>,</w:t>
      </w:r>
      <w:r w:rsidRPr="0079789A">
        <w:t xml:space="preserve"> pavyzdžiui, Lenkijoje, teismai yra įpareigoti turėti savo internet</w:t>
      </w:r>
      <w:r>
        <w:t>o</w:t>
      </w:r>
      <w:r w:rsidRPr="0079789A">
        <w:t xml:space="preserve"> svetaines. Kad paskatintų teismus nuolat tobulinti savo interneto svetaines </w:t>
      </w:r>
      <w:r>
        <w:t>ir</w:t>
      </w:r>
      <w:r w:rsidRPr="0079789A">
        <w:t xml:space="preserve"> atnaujinti skelbiamą informaciją, </w:t>
      </w:r>
      <w:r>
        <w:t>kad ji būtų</w:t>
      </w:r>
      <w:r w:rsidRPr="0079789A">
        <w:t xml:space="preserve"> labiau pasiekiam</w:t>
      </w:r>
      <w:r>
        <w:t>a</w:t>
      </w:r>
      <w:r w:rsidRPr="0079789A">
        <w:t xml:space="preserve"> visuomenei bei visuomenės informavimo priemonių atstovams, organizuojamas konkursas</w:t>
      </w:r>
      <w:r w:rsidRPr="0079789A">
        <w:rPr>
          <w:rStyle w:val="FootnoteReference"/>
        </w:rPr>
        <w:footnoteReference w:id="7"/>
      </w:r>
      <w:r w:rsidRPr="0079789A">
        <w:t xml:space="preserve"> </w:t>
      </w:r>
      <w:r>
        <w:t>„</w:t>
      </w:r>
      <w:r w:rsidRPr="0079789A">
        <w:t>E</w:t>
      </w:r>
      <w:r>
        <w:t xml:space="preserve">. </w:t>
      </w:r>
      <w:r w:rsidRPr="0079789A">
        <w:t xml:space="preserve">teismai lenkišku stiliumi“. Šiame konkurse Lenkijos teismai varžosi </w:t>
      </w:r>
      <w:r>
        <w:t xml:space="preserve">dėl </w:t>
      </w:r>
      <w:r w:rsidRPr="0079789A">
        <w:t>geriausios interneto svetainės. Nugalėtojams specialius apdovanojimus skiria Lenkijos Teisingumo ministerija. Lenkijos atstovų teigimu, kiekvienais metais teism</w:t>
      </w:r>
      <w:r>
        <w:t>ai</w:t>
      </w:r>
      <w:r w:rsidRPr="0079789A">
        <w:t xml:space="preserve"> vis aktyv</w:t>
      </w:r>
      <w:r>
        <w:t>iau</w:t>
      </w:r>
      <w:r w:rsidRPr="0079789A">
        <w:t xml:space="preserve"> dalyva</w:t>
      </w:r>
      <w:r>
        <w:t>uja</w:t>
      </w:r>
      <w:r w:rsidRPr="0079789A">
        <w:t xml:space="preserve"> konkurse </w:t>
      </w:r>
      <w:r>
        <w:t>ir dedama vis daugiau pastangų</w:t>
      </w:r>
      <w:r w:rsidRPr="0079789A">
        <w:t xml:space="preserve"> tobulinant savo interneto svetaines i</w:t>
      </w:r>
      <w:r>
        <w:t>r</w:t>
      </w:r>
      <w:r w:rsidRPr="0079789A">
        <w:t xml:space="preserve"> pateikiant informaciją visuomenei. </w:t>
      </w:r>
    </w:p>
    <w:p w:rsidR="00A76F77" w:rsidRPr="003551CD" w:rsidRDefault="00A76F77" w:rsidP="0066433F">
      <w:pPr>
        <w:spacing w:before="100" w:beforeAutospacing="1" w:after="100" w:afterAutospacing="1" w:line="240" w:lineRule="atLeast"/>
        <w:jc w:val="both"/>
        <w:rPr>
          <w:b/>
        </w:rPr>
      </w:pPr>
      <w:r w:rsidRPr="003551CD">
        <w:rPr>
          <w:b/>
        </w:rPr>
        <w:t xml:space="preserve">Teismų </w:t>
      </w:r>
      <w:r>
        <w:rPr>
          <w:b/>
        </w:rPr>
        <w:t xml:space="preserve">procesinių </w:t>
      </w:r>
      <w:r w:rsidRPr="003551CD">
        <w:rPr>
          <w:b/>
        </w:rPr>
        <w:t>sprendimų atranka viešam skelbimui</w:t>
      </w:r>
    </w:p>
    <w:p w:rsidR="00A76F77" w:rsidRPr="0079789A" w:rsidRDefault="00A76F77" w:rsidP="0066433F">
      <w:pPr>
        <w:spacing w:before="100" w:beforeAutospacing="1" w:after="100" w:afterAutospacing="1" w:line="240" w:lineRule="atLeast"/>
        <w:jc w:val="both"/>
      </w:pPr>
      <w:r w:rsidRPr="0079789A">
        <w:t>Vis</w:t>
      </w:r>
      <w:r>
        <w:t xml:space="preserve"> dėlto</w:t>
      </w:r>
      <w:r w:rsidRPr="0079789A">
        <w:t xml:space="preserve"> visos apklausoje dalyvavusios šalys pažymėjo, jog ne visi teismų </w:t>
      </w:r>
      <w:r>
        <w:t>sprendimai yra publikuojami viešai,</w:t>
      </w:r>
      <w:r w:rsidRPr="0079789A">
        <w:t xml:space="preserve"> daugelis šalių vykdo jų atranką. </w:t>
      </w:r>
      <w:r>
        <w:t>Paprastai</w:t>
      </w:r>
      <w:r w:rsidRPr="0079789A">
        <w:t xml:space="preserve"> internete skelbiami visi Aukščiausiojo Teismo sprendimai ir pasirinktinai kai kurie aukštesniųjų instancijų teismų sprendimai. Tuo tarpu pirmosios instancijos teismų sprendimai internete skelbiami tik retais atvejais. Visgi kai kuriose šalyse</w:t>
      </w:r>
      <w:r>
        <w:t xml:space="preserve"> (pvz., Nyderlanduose) </w:t>
      </w:r>
      <w:r w:rsidRPr="0079789A">
        <w:t xml:space="preserve">yra suformuota praktika skelbti ir pirmosios instancijos teismų sprendimus, nors byla toliau nagrinėjama apeliacine tvarka. Skelbiant pirmosios instancijos sprendimus dažniausiai tiesiog siekiama informuoti visuomenę apie bylos eigą. </w:t>
      </w:r>
    </w:p>
    <w:p w:rsidR="00A76F77" w:rsidRPr="0079789A" w:rsidRDefault="00A76F77" w:rsidP="0066433F">
      <w:pPr>
        <w:spacing w:before="100" w:beforeAutospacing="1" w:after="100" w:afterAutospacing="1" w:line="240" w:lineRule="atLeast"/>
        <w:jc w:val="both"/>
      </w:pPr>
      <w:r w:rsidRPr="0079789A">
        <w:lastRenderedPageBreak/>
        <w:t xml:space="preserve">ETTT darbo grupė rekomendavo, kad visi Aukščiausiojo Teismo bei aukštesnės instancijos teismų sprendimai </w:t>
      </w:r>
      <w:r>
        <w:t xml:space="preserve">turėtų </w:t>
      </w:r>
      <w:r w:rsidRPr="0079789A">
        <w:t>būt</w:t>
      </w:r>
      <w:r>
        <w:t>i</w:t>
      </w:r>
      <w:r w:rsidRPr="0079789A">
        <w:t xml:space="preserve"> prieinami visuomenei internetinėje erdvėje. Atsižvelgiant į didelius teismų sprendimų </w:t>
      </w:r>
      <w:r>
        <w:t>skaičius</w:t>
      </w:r>
      <w:r w:rsidRPr="0079789A">
        <w:t>, teismams rekomenduojama skelbti svarbiausių priimtų sprendimų rinkinius. ETTT darbo grupė pabrėžė, jog tai, kad teismo sprendimas yra galutinis ir neskundžiamas, dar nereiškia, jog jis turi būti skelbiamas internete, tačiau visuomenei turi būti aišku</w:t>
      </w:r>
      <w:r>
        <w:t>,</w:t>
      </w:r>
      <w:r w:rsidRPr="0079789A">
        <w:t xml:space="preserve"> ar </w:t>
      </w:r>
      <w:r>
        <w:t>paskelbtas</w:t>
      </w:r>
      <w:r w:rsidRPr="0079789A">
        <w:t xml:space="preserve"> sprendimas </w:t>
      </w:r>
      <w:r>
        <w:t xml:space="preserve">jau </w:t>
      </w:r>
      <w:r w:rsidRPr="0079789A">
        <w:t>yra galutinis, ar bylos nagrinėjimo procesas vyks toliau.</w:t>
      </w:r>
    </w:p>
    <w:p w:rsidR="00A76F77" w:rsidRPr="0079789A" w:rsidRDefault="00A76F77" w:rsidP="0066433F">
      <w:pPr>
        <w:spacing w:before="100" w:beforeAutospacing="1" w:after="100" w:afterAutospacing="1" w:line="240" w:lineRule="atLeast"/>
        <w:jc w:val="both"/>
      </w:pPr>
      <w:r w:rsidRPr="0079789A">
        <w:t xml:space="preserve">Lietuvoje yra suformuota praktika, kad jeigu prašomas pateikti procesinis dokumentas yra neįsiteisėjęs, teismo atstovas ryšiams su visuomene arba kitas įgaliotas asmuo, prieš pateikdamas tokį dokumentą, privalo jį gaunančiam visuomenės informavimo priemonės atstovui išaiškinti, kad nors jis yra paskelbtas viešame teismo posėdyje, tačiau neįsiteisėjęs ir dar gali būti skundžiamas, </w:t>
      </w:r>
      <w:r>
        <w:t xml:space="preserve">ir </w:t>
      </w:r>
      <w:r w:rsidRPr="0079789A">
        <w:t>rekomenduo</w:t>
      </w:r>
      <w:r>
        <w:t>ti</w:t>
      </w:r>
      <w:r w:rsidRPr="0079789A">
        <w:t xml:space="preserve"> šiuos faktus nurodyti informuojant visuomenę.</w:t>
      </w:r>
      <w:r w:rsidRPr="0079789A">
        <w:rPr>
          <w:rStyle w:val="FootnoteReference"/>
        </w:rPr>
        <w:footnoteReference w:id="8"/>
      </w:r>
    </w:p>
    <w:p w:rsidR="00A76F77" w:rsidRPr="0079789A" w:rsidRDefault="00A76F77" w:rsidP="0066433F">
      <w:pPr>
        <w:spacing w:before="100" w:beforeAutospacing="1" w:after="100" w:afterAutospacing="1" w:line="240" w:lineRule="atLeast"/>
        <w:jc w:val="both"/>
      </w:pPr>
      <w:r w:rsidRPr="0079789A">
        <w:t>Kiekvienoje šalyje gali būti skirtingai pasirenkama, kokie teismo sprendimai skelbiami internetinėje erdvėje. Kartais tokį sprendimą priima byl</w:t>
      </w:r>
      <w:r>
        <w:t>ą nagrinėjęs teisėjas ar jo padė</w:t>
      </w:r>
      <w:r w:rsidRPr="0079789A">
        <w:t xml:space="preserve">jėjas. </w:t>
      </w:r>
      <w:r>
        <w:t>Kartais</w:t>
      </w:r>
      <w:r w:rsidRPr="0079789A">
        <w:t xml:space="preserve"> teismai sudaro teis</w:t>
      </w:r>
      <w:r>
        <w:t>ėjų komisijas (komitetus), kurios</w:t>
      </w:r>
      <w:r w:rsidRPr="0079789A">
        <w:t xml:space="preserve"> vykdo teismo sprendimų, kurie turėtų būti skelbiami internete, atranką. Kai kurios šalys taiko tam tikrus </w:t>
      </w:r>
      <w:r>
        <w:t>sprendimų atrankos</w:t>
      </w:r>
      <w:r w:rsidRPr="0079789A">
        <w:t xml:space="preserve"> kriterijus. Vis</w:t>
      </w:r>
      <w:r>
        <w:t xml:space="preserve"> dėlto</w:t>
      </w:r>
      <w:r w:rsidRPr="0079789A">
        <w:t xml:space="preserve"> tokie kriterijai paprastai yra bendro pobūdžio. </w:t>
      </w:r>
      <w:r w:rsidR="00177FC6" w:rsidRPr="00A11B72">
        <w:t>Kai kuriose šalyse vyksta nuolatinės akademinės visuomenės (universitetų) ir visuomenės informavimo priemonių atstovų diskusijos dėl visų teismų priimtų procesinių sprendimų viešo sk</w:t>
      </w:r>
      <w:r w:rsidRPr="00A11B72">
        <w:t>e</w:t>
      </w:r>
      <w:r w:rsidR="00177FC6" w:rsidRPr="00A11B72">
        <w:t>lbimo internete, kad būtų sudaryta galimybė juos naudoti įvairiems tyrimams.</w:t>
      </w:r>
      <w:r w:rsidRPr="0079789A">
        <w:t xml:space="preserve"> </w:t>
      </w:r>
    </w:p>
    <w:p w:rsidR="00A76F77" w:rsidRPr="0079789A" w:rsidRDefault="00A76F77" w:rsidP="00CB2774">
      <w:pPr>
        <w:spacing w:before="100" w:beforeAutospacing="1" w:after="100" w:afterAutospacing="1" w:line="240" w:lineRule="atLeast"/>
        <w:jc w:val="both"/>
      </w:pPr>
      <w:r w:rsidRPr="0079789A">
        <w:t xml:space="preserve">Tam, kad visuomenė būtų informuota apie pačius </w:t>
      </w:r>
      <w:r w:rsidRPr="00DB7D91">
        <w:t xml:space="preserve">svarbiausius ir labiausiai ją dominančius </w:t>
      </w:r>
      <w:r>
        <w:t>bylų nagrinėjimo klausimus</w:t>
      </w:r>
      <w:r w:rsidRPr="0079789A">
        <w:t xml:space="preserve">, siūloma, kad kiekviename teisme būtų sudarytos specialios komisijos (komitetai), susidedančios iš to teismo teisėjų, </w:t>
      </w:r>
      <w:r>
        <w:t>nusprendžiančios</w:t>
      </w:r>
      <w:r w:rsidRPr="0079789A">
        <w:t>, kurie teismo</w:t>
      </w:r>
      <w:r>
        <w:t xml:space="preserve"> sprendimai bus skelbiami internete</w:t>
      </w:r>
      <w:r w:rsidRPr="0079789A">
        <w:t xml:space="preserve">. </w:t>
      </w:r>
    </w:p>
    <w:p w:rsidR="00A76F77" w:rsidRPr="0079789A" w:rsidRDefault="00A76F77" w:rsidP="0066433F">
      <w:pPr>
        <w:spacing w:before="100" w:beforeAutospacing="1" w:after="100" w:afterAutospacing="1" w:line="240" w:lineRule="atLeast"/>
        <w:jc w:val="both"/>
      </w:pPr>
      <w:r w:rsidRPr="0079789A">
        <w:t xml:space="preserve">ETTT darbo grupė taip pat išskyrė keletą bendrųjų </w:t>
      </w:r>
      <w:r>
        <w:t>teismų sprendimų, skelbtinų internete, atrankos</w:t>
      </w:r>
      <w:r w:rsidRPr="0079789A">
        <w:t xml:space="preserve"> kriterijų. Pasak darbo grupės, sprendimą rekomenduojama skelbti internete, jeigu:</w:t>
      </w:r>
    </w:p>
    <w:p w:rsidR="00A76F77" w:rsidRPr="0079789A" w:rsidRDefault="00A76F77" w:rsidP="002D1048">
      <w:pPr>
        <w:pStyle w:val="ListParagraph"/>
        <w:numPr>
          <w:ilvl w:val="0"/>
          <w:numId w:val="9"/>
        </w:numPr>
        <w:spacing w:before="120" w:after="100" w:afterAutospacing="1" w:line="240" w:lineRule="atLeast"/>
        <w:ind w:left="714" w:hanging="357"/>
        <w:contextualSpacing w:val="0"/>
        <w:jc w:val="both"/>
        <w:rPr>
          <w:rFonts w:ascii="Times New Roman" w:hAnsi="Times New Roman"/>
          <w:sz w:val="24"/>
          <w:szCs w:val="24"/>
          <w:lang w:val="lt-LT"/>
        </w:rPr>
      </w:pPr>
      <w:r w:rsidRPr="0079789A">
        <w:rPr>
          <w:rFonts w:ascii="Times New Roman" w:hAnsi="Times New Roman"/>
          <w:sz w:val="24"/>
          <w:szCs w:val="24"/>
          <w:lang w:val="lt-LT"/>
        </w:rPr>
        <w:t xml:space="preserve">visuomenės informavimo priemonių atstovai </w:t>
      </w:r>
      <w:r>
        <w:rPr>
          <w:rFonts w:ascii="Times New Roman" w:hAnsi="Times New Roman"/>
          <w:sz w:val="24"/>
          <w:szCs w:val="24"/>
          <w:lang w:val="lt-LT"/>
        </w:rPr>
        <w:t>domisi šiuo sprendimu</w:t>
      </w:r>
      <w:r w:rsidRPr="0079789A">
        <w:rPr>
          <w:rFonts w:ascii="Times New Roman" w:hAnsi="Times New Roman"/>
          <w:sz w:val="24"/>
          <w:szCs w:val="24"/>
          <w:lang w:val="lt-LT"/>
        </w:rPr>
        <w:t>;</w:t>
      </w:r>
    </w:p>
    <w:p w:rsidR="00A76F77" w:rsidRPr="0079789A" w:rsidRDefault="00A76F77" w:rsidP="002D1048">
      <w:pPr>
        <w:pStyle w:val="ListParagraph"/>
        <w:numPr>
          <w:ilvl w:val="0"/>
          <w:numId w:val="9"/>
        </w:numPr>
        <w:spacing w:before="120" w:after="100" w:afterAutospacing="1"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 xml:space="preserve">byla, kurioje priimtas sprendimas, </w:t>
      </w:r>
      <w:r w:rsidRPr="004E2D32">
        <w:rPr>
          <w:rFonts w:ascii="Times New Roman" w:hAnsi="Times New Roman"/>
          <w:sz w:val="24"/>
          <w:szCs w:val="24"/>
          <w:lang w:val="lt-LT"/>
        </w:rPr>
        <w:t>sulaukė didelio visuomenės dė</w:t>
      </w:r>
      <w:r>
        <w:rPr>
          <w:rFonts w:ascii="Times New Roman" w:hAnsi="Times New Roman"/>
          <w:sz w:val="24"/>
          <w:szCs w:val="24"/>
          <w:lang w:val="lt-LT"/>
        </w:rPr>
        <w:t>mesio</w:t>
      </w:r>
      <w:r w:rsidRPr="004E2D32">
        <w:rPr>
          <w:rFonts w:ascii="Times New Roman" w:hAnsi="Times New Roman"/>
          <w:sz w:val="24"/>
          <w:szCs w:val="24"/>
          <w:lang w:val="lt-LT"/>
        </w:rPr>
        <w:t>;</w:t>
      </w:r>
    </w:p>
    <w:p w:rsidR="00A76F77" w:rsidRPr="0079789A" w:rsidRDefault="00A76F77" w:rsidP="002D1048">
      <w:pPr>
        <w:pStyle w:val="ListParagraph"/>
        <w:numPr>
          <w:ilvl w:val="0"/>
          <w:numId w:val="9"/>
        </w:numPr>
        <w:spacing w:before="120" w:after="100" w:afterAutospacing="1" w:line="240" w:lineRule="atLeast"/>
        <w:ind w:left="714" w:hanging="357"/>
        <w:contextualSpacing w:val="0"/>
        <w:jc w:val="both"/>
        <w:rPr>
          <w:rFonts w:ascii="Times New Roman" w:hAnsi="Times New Roman"/>
          <w:sz w:val="24"/>
          <w:szCs w:val="24"/>
          <w:lang w:val="lt-LT"/>
        </w:rPr>
      </w:pPr>
      <w:r w:rsidRPr="0079789A">
        <w:rPr>
          <w:rFonts w:ascii="Times New Roman" w:hAnsi="Times New Roman"/>
          <w:sz w:val="24"/>
          <w:szCs w:val="24"/>
          <w:lang w:val="lt-LT"/>
        </w:rPr>
        <w:t>sprendimas gali turėti įtakos įstatymų ar kitų teisės aktų aiškinimui ar (ir) taikymui;</w:t>
      </w:r>
    </w:p>
    <w:p w:rsidR="00A76F77" w:rsidRPr="0079789A" w:rsidRDefault="00A76F77" w:rsidP="002D1048">
      <w:pPr>
        <w:pStyle w:val="ListParagraph"/>
        <w:numPr>
          <w:ilvl w:val="0"/>
          <w:numId w:val="9"/>
        </w:numPr>
        <w:spacing w:before="120" w:after="100" w:afterAutospacing="1" w:line="240" w:lineRule="atLeast"/>
        <w:ind w:left="714" w:hanging="357"/>
        <w:contextualSpacing w:val="0"/>
        <w:jc w:val="both"/>
        <w:rPr>
          <w:rFonts w:ascii="Times New Roman" w:hAnsi="Times New Roman"/>
          <w:sz w:val="24"/>
          <w:szCs w:val="24"/>
          <w:lang w:val="lt-LT"/>
        </w:rPr>
      </w:pPr>
      <w:r w:rsidRPr="0079789A">
        <w:rPr>
          <w:rFonts w:ascii="Times New Roman" w:hAnsi="Times New Roman"/>
          <w:sz w:val="24"/>
          <w:szCs w:val="24"/>
          <w:lang w:val="lt-LT"/>
        </w:rPr>
        <w:t>spren</w:t>
      </w:r>
      <w:r>
        <w:rPr>
          <w:rFonts w:ascii="Times New Roman" w:hAnsi="Times New Roman"/>
          <w:sz w:val="24"/>
          <w:szCs w:val="24"/>
          <w:lang w:val="lt-LT"/>
        </w:rPr>
        <w:t>dimas yra svarbus specializuotų visuomenės informavimo priemonių atstovams, veikiantiems</w:t>
      </w:r>
      <w:r w:rsidRPr="0079789A">
        <w:rPr>
          <w:rFonts w:ascii="Times New Roman" w:hAnsi="Times New Roman"/>
          <w:sz w:val="24"/>
          <w:szCs w:val="24"/>
          <w:lang w:val="lt-LT"/>
        </w:rPr>
        <w:t xml:space="preserve"> teisės ir teisingumo srityje.</w:t>
      </w:r>
    </w:p>
    <w:p w:rsidR="00A76F77" w:rsidRPr="0079789A" w:rsidRDefault="00A76F77" w:rsidP="0066433F">
      <w:pPr>
        <w:spacing w:before="100" w:beforeAutospacing="1" w:after="100" w:afterAutospacing="1" w:line="240" w:lineRule="atLeast"/>
        <w:jc w:val="both"/>
      </w:pPr>
      <w:r w:rsidRPr="0079789A">
        <w:t>Atkreiptinas dėmesys, kad nusta</w:t>
      </w:r>
      <w:r>
        <w:t>tyti</w:t>
      </w:r>
      <w:r w:rsidRPr="0079789A">
        <w:t xml:space="preserve"> teismų sprendimų</w:t>
      </w:r>
      <w:r>
        <w:t xml:space="preserve"> skelbimo</w:t>
      </w:r>
      <w:r w:rsidRPr="0079789A">
        <w:t xml:space="preserve"> internete kriterij</w:t>
      </w:r>
      <w:r>
        <w:t>ai</w:t>
      </w:r>
      <w:r w:rsidRPr="0079789A">
        <w:t xml:space="preserve"> turi būti </w:t>
      </w:r>
      <w:r>
        <w:t>teikiami</w:t>
      </w:r>
      <w:r w:rsidRPr="0079789A">
        <w:t xml:space="preserve"> teismų sistemos interneto svetainėje ir būti laisvai prieinami visuomenei. </w:t>
      </w:r>
    </w:p>
    <w:p w:rsidR="00A76F77" w:rsidRPr="001B4174" w:rsidRDefault="00A76F77" w:rsidP="000A1448">
      <w:pPr>
        <w:spacing w:before="100" w:beforeAutospacing="1" w:after="100" w:afterAutospacing="1" w:line="240" w:lineRule="atLeast"/>
        <w:jc w:val="both"/>
        <w:rPr>
          <w:b/>
        </w:rPr>
      </w:pPr>
      <w:r w:rsidRPr="001B4174">
        <w:rPr>
          <w:b/>
        </w:rPr>
        <w:t xml:space="preserve">Teismų </w:t>
      </w:r>
      <w:r>
        <w:rPr>
          <w:b/>
        </w:rPr>
        <w:t xml:space="preserve">procesinių </w:t>
      </w:r>
      <w:r w:rsidRPr="001B4174">
        <w:rPr>
          <w:b/>
        </w:rPr>
        <w:t>sprendimų nuasmeninimas</w:t>
      </w:r>
    </w:p>
    <w:p w:rsidR="00A76F77" w:rsidRDefault="00A76F77" w:rsidP="00C23413">
      <w:pPr>
        <w:spacing w:before="100" w:beforeAutospacing="1" w:after="100" w:afterAutospacing="1" w:line="240" w:lineRule="atLeast"/>
        <w:jc w:val="both"/>
      </w:pPr>
      <w:r>
        <w:t>P</w:t>
      </w:r>
      <w:r w:rsidRPr="0079789A">
        <w:t>roceso dalyvių a</w:t>
      </w:r>
      <w:r>
        <w:t xml:space="preserve">smens duomenų apsaugos problemos yra itin </w:t>
      </w:r>
      <w:r w:rsidRPr="0079789A">
        <w:t xml:space="preserve">aktualios </w:t>
      </w:r>
      <w:r>
        <w:t>šiandieninėje visuomenėje. Su šiomis problemomis susiduria ne tik nacionaliniai, bet ir tarptautiniai teismai.</w:t>
      </w:r>
      <w:r w:rsidRPr="0079789A">
        <w:t xml:space="preserve"> 2013 m. rugsėjo 18 d. </w:t>
      </w:r>
      <w:r>
        <w:t xml:space="preserve">Tarptautinis baudžiamasis teismas byloje </w:t>
      </w:r>
      <w:proofErr w:type="spellStart"/>
      <w:r w:rsidRPr="0079789A">
        <w:rPr>
          <w:i/>
          <w:iCs/>
        </w:rPr>
        <w:t>The</w:t>
      </w:r>
      <w:proofErr w:type="spellEnd"/>
      <w:r w:rsidRPr="0079789A">
        <w:rPr>
          <w:i/>
          <w:iCs/>
        </w:rPr>
        <w:t xml:space="preserve"> </w:t>
      </w:r>
      <w:proofErr w:type="spellStart"/>
      <w:r w:rsidRPr="0079789A">
        <w:rPr>
          <w:i/>
          <w:iCs/>
        </w:rPr>
        <w:t>Prosecutor</w:t>
      </w:r>
      <w:proofErr w:type="spellEnd"/>
      <w:r w:rsidRPr="0079789A">
        <w:rPr>
          <w:i/>
          <w:iCs/>
        </w:rPr>
        <w:t xml:space="preserve"> v. </w:t>
      </w:r>
      <w:proofErr w:type="spellStart"/>
      <w:r w:rsidRPr="0079789A">
        <w:rPr>
          <w:i/>
          <w:iCs/>
        </w:rPr>
        <w:t>William</w:t>
      </w:r>
      <w:proofErr w:type="spellEnd"/>
      <w:r w:rsidRPr="0079789A">
        <w:rPr>
          <w:i/>
          <w:iCs/>
        </w:rPr>
        <w:t xml:space="preserve"> </w:t>
      </w:r>
      <w:proofErr w:type="spellStart"/>
      <w:r w:rsidRPr="0079789A">
        <w:rPr>
          <w:i/>
          <w:iCs/>
        </w:rPr>
        <w:t>Samoei</w:t>
      </w:r>
      <w:proofErr w:type="spellEnd"/>
      <w:r w:rsidRPr="0079789A">
        <w:rPr>
          <w:i/>
          <w:iCs/>
        </w:rPr>
        <w:t xml:space="preserve"> </w:t>
      </w:r>
      <w:proofErr w:type="spellStart"/>
      <w:r w:rsidRPr="0079789A">
        <w:rPr>
          <w:i/>
          <w:iCs/>
        </w:rPr>
        <w:t>Ruto</w:t>
      </w:r>
      <w:proofErr w:type="spellEnd"/>
      <w:r w:rsidRPr="0079789A">
        <w:rPr>
          <w:i/>
          <w:iCs/>
        </w:rPr>
        <w:t xml:space="preserve"> </w:t>
      </w:r>
      <w:proofErr w:type="spellStart"/>
      <w:r w:rsidRPr="0079789A">
        <w:rPr>
          <w:i/>
          <w:iCs/>
        </w:rPr>
        <w:t>and</w:t>
      </w:r>
      <w:proofErr w:type="spellEnd"/>
      <w:r w:rsidRPr="0079789A">
        <w:rPr>
          <w:i/>
          <w:iCs/>
        </w:rPr>
        <w:t xml:space="preserve"> </w:t>
      </w:r>
      <w:proofErr w:type="spellStart"/>
      <w:r w:rsidRPr="0079789A">
        <w:rPr>
          <w:i/>
          <w:iCs/>
        </w:rPr>
        <w:t>Joshua</w:t>
      </w:r>
      <w:proofErr w:type="spellEnd"/>
      <w:r w:rsidRPr="0079789A">
        <w:rPr>
          <w:i/>
          <w:iCs/>
        </w:rPr>
        <w:t xml:space="preserve"> </w:t>
      </w:r>
      <w:proofErr w:type="spellStart"/>
      <w:r w:rsidRPr="0079789A">
        <w:rPr>
          <w:i/>
          <w:iCs/>
        </w:rPr>
        <w:t>Arap</w:t>
      </w:r>
      <w:proofErr w:type="spellEnd"/>
      <w:r w:rsidRPr="0079789A">
        <w:rPr>
          <w:i/>
          <w:iCs/>
        </w:rPr>
        <w:t xml:space="preserve"> </w:t>
      </w:r>
      <w:proofErr w:type="spellStart"/>
      <w:r w:rsidRPr="0079789A">
        <w:rPr>
          <w:i/>
          <w:iCs/>
        </w:rPr>
        <w:t>Sang</w:t>
      </w:r>
      <w:proofErr w:type="spellEnd"/>
      <w:r>
        <w:rPr>
          <w:rStyle w:val="FootnoteReference"/>
          <w:i/>
          <w:iCs/>
        </w:rPr>
        <w:footnoteReference w:id="9"/>
      </w:r>
      <w:r w:rsidRPr="0079789A">
        <w:t xml:space="preserve"> atskiru pranešimu </w:t>
      </w:r>
      <w:r>
        <w:t xml:space="preserve">kreipėsi į </w:t>
      </w:r>
      <w:r w:rsidRPr="0079789A">
        <w:t>tar</w:t>
      </w:r>
      <w:r>
        <w:t>p</w:t>
      </w:r>
      <w:r w:rsidRPr="0079789A">
        <w:t>t</w:t>
      </w:r>
      <w:r>
        <w:t xml:space="preserve">autinę bendruomenę bei </w:t>
      </w:r>
      <w:r w:rsidRPr="0079789A">
        <w:t xml:space="preserve">pasaulio </w:t>
      </w:r>
      <w:r>
        <w:t xml:space="preserve">visuomenės </w:t>
      </w:r>
      <w:r>
        <w:lastRenderedPageBreak/>
        <w:t>informavimo priemonių atstovus</w:t>
      </w:r>
      <w:r w:rsidRPr="0079789A">
        <w:t xml:space="preserve">, </w:t>
      </w:r>
      <w:r>
        <w:t xml:space="preserve">primindamas, kad poveikis </w:t>
      </w:r>
      <w:r w:rsidRPr="0079789A">
        <w:t>ar bandymas daryti poveikį liudytojams</w:t>
      </w:r>
      <w:r>
        <w:t xml:space="preserve"> (įskaitant duomenų apie liudytoją atskleidimą, pvz., vaizdo įrašuose) </w:t>
      </w:r>
      <w:r w:rsidRPr="0079789A">
        <w:t>yra laikomas nusikaltimu</w:t>
      </w:r>
      <w:r>
        <w:rPr>
          <w:rStyle w:val="FootnoteReference"/>
        </w:rPr>
        <w:footnoteReference w:id="10"/>
      </w:r>
      <w:r w:rsidRPr="0079789A">
        <w:t xml:space="preserve"> teisingumo vykdymui</w:t>
      </w:r>
      <w:r>
        <w:t xml:space="preserve">, už kurį numatyta </w:t>
      </w:r>
      <w:r w:rsidRPr="0079789A">
        <w:t>baudžiamoji atsakomybė</w:t>
      </w:r>
      <w:r>
        <w:t xml:space="preserve"> (laisvės atėmimo bausmė iki 5 metų).</w:t>
      </w:r>
    </w:p>
    <w:p w:rsidR="00A76F77" w:rsidRDefault="00A76F77" w:rsidP="000A1448">
      <w:pPr>
        <w:spacing w:before="100" w:beforeAutospacing="1" w:after="100" w:afterAutospacing="1" w:line="240" w:lineRule="atLeast"/>
        <w:jc w:val="both"/>
      </w:pPr>
      <w:r w:rsidRPr="0079789A">
        <w:t>Teismas taip pat</w:t>
      </w:r>
      <w:r>
        <w:t xml:space="preserve"> paragino visų visuomenės informavimo priemonių</w:t>
      </w:r>
      <w:r w:rsidRPr="0079789A">
        <w:t xml:space="preserve">, </w:t>
      </w:r>
      <w:proofErr w:type="spellStart"/>
      <w:r>
        <w:t>tinklaraščių</w:t>
      </w:r>
      <w:proofErr w:type="spellEnd"/>
      <w:r w:rsidRPr="0079789A">
        <w:t xml:space="preserve">, socialinių tinklų narius </w:t>
      </w:r>
      <w:r>
        <w:t>bei atstovus neskelbti jokios informacijos</w:t>
      </w:r>
      <w:r w:rsidRPr="0079789A">
        <w:t>, kuri atskleistų ar prisidėtų prie saugomų asmens duomenų atskleidimo ar tokių duomenų platinimo.</w:t>
      </w:r>
      <w:r>
        <w:rPr>
          <w:rStyle w:val="FootnoteReference"/>
        </w:rPr>
        <w:footnoteReference w:id="11"/>
      </w:r>
      <w:r w:rsidRPr="0079789A">
        <w:t xml:space="preserve"> </w:t>
      </w:r>
    </w:p>
    <w:p w:rsidR="00A76F77" w:rsidRPr="0079789A" w:rsidRDefault="00A76F77" w:rsidP="000A1448">
      <w:pPr>
        <w:spacing w:before="100" w:beforeAutospacing="1" w:after="100" w:afterAutospacing="1" w:line="240" w:lineRule="atLeast"/>
        <w:jc w:val="both"/>
      </w:pPr>
      <w:r>
        <w:t xml:space="preserve">ETT darbo grupės </w:t>
      </w:r>
      <w:r w:rsidRPr="0079789A">
        <w:t>šalių praktika rodo, jog</w:t>
      </w:r>
      <w:r>
        <w:t>,</w:t>
      </w:r>
      <w:r w:rsidRPr="0079789A">
        <w:t xml:space="preserve"> </w:t>
      </w:r>
      <w:r>
        <w:t xml:space="preserve">siekiant išvengti su asmens duomenų apsauga susijusių problemų nacionalinėje teisėje, </w:t>
      </w:r>
      <w:r w:rsidRPr="0079789A">
        <w:t>teismų</w:t>
      </w:r>
      <w:r>
        <w:t xml:space="preserve"> sprendimai,</w:t>
      </w:r>
      <w:r w:rsidRPr="0079789A">
        <w:t xml:space="preserve"> prieš paskelbiant juos internete, paprastai yra nuasmeninami. Tik Anglijoje ir Velse teismų sprendimai skelbiami su tiksliais vardais, pavardėmis bei vietovėmis. Kai kuriose šalyse mažos apimties standartinės</w:t>
      </w:r>
      <w:r>
        <w:t>e</w:t>
      </w:r>
      <w:r w:rsidRPr="0079789A">
        <w:t xml:space="preserve"> (</w:t>
      </w:r>
      <w:r>
        <w:t>įprastose</w:t>
      </w:r>
      <w:r w:rsidRPr="0079789A">
        <w:t>) civilinės</w:t>
      </w:r>
      <w:r>
        <w:t>e</w:t>
      </w:r>
      <w:r w:rsidRPr="0079789A">
        <w:t xml:space="preserve"> bylos</w:t>
      </w:r>
      <w:r>
        <w:t>e</w:t>
      </w:r>
      <w:r w:rsidRPr="0079789A">
        <w:t xml:space="preserve"> </w:t>
      </w:r>
      <w:r>
        <w:t xml:space="preserve">sprendimai skelbiami </w:t>
      </w:r>
      <w:r w:rsidRPr="0079789A">
        <w:t xml:space="preserve">su pilnais </w:t>
      </w:r>
      <w:r>
        <w:t>proceso dalyv</w:t>
      </w:r>
      <w:r w:rsidRPr="0079789A">
        <w:t>ių vardais.</w:t>
      </w:r>
    </w:p>
    <w:p w:rsidR="00A76F77" w:rsidRPr="0079789A" w:rsidRDefault="00A76F77" w:rsidP="000A1448">
      <w:pPr>
        <w:spacing w:before="100" w:beforeAutospacing="1" w:after="100" w:afterAutospacing="1" w:line="240" w:lineRule="atLeast"/>
        <w:jc w:val="both"/>
      </w:pPr>
      <w:r w:rsidRPr="0079789A">
        <w:t>Šalių praktikoje galima išskirti keletą teismų sprendimų nuasmeninim</w:t>
      </w:r>
      <w:r>
        <w:t>o</w:t>
      </w:r>
      <w:r w:rsidRPr="0079789A">
        <w:t xml:space="preserve"> būdų. Kai kuriose šalyse skelbiami tik proceso dalyvių inicialai. Kitose šalyse vietoj konkrečių asmen</w:t>
      </w:r>
      <w:r>
        <w:t>vardžių</w:t>
      </w:r>
      <w:r w:rsidRPr="0079789A">
        <w:t xml:space="preserve"> </w:t>
      </w:r>
      <w:r>
        <w:t>vartojamos</w:t>
      </w:r>
      <w:r w:rsidRPr="0079789A">
        <w:t xml:space="preserve"> raidės (pvz., šali</w:t>
      </w:r>
      <w:r>
        <w:t>s A, šalis B ir t.t.). Viešinant</w:t>
      </w:r>
      <w:r w:rsidRPr="0079789A">
        <w:t xml:space="preserve"> teismų </w:t>
      </w:r>
      <w:r>
        <w:t xml:space="preserve">procesinius </w:t>
      </w:r>
      <w:r w:rsidRPr="0079789A">
        <w:t>sprendimus yra itin svarbu apsaugoti proceso dalyvių privatumą (kaltinam</w:t>
      </w:r>
      <w:r>
        <w:t>ųjų</w:t>
      </w:r>
      <w:r w:rsidRPr="0079789A">
        <w:t>, liudytoj</w:t>
      </w:r>
      <w:r>
        <w:t>ų</w:t>
      </w:r>
      <w:r w:rsidRPr="0079789A">
        <w:t xml:space="preserve"> baudžiamosiose bylose, proceso šal</w:t>
      </w:r>
      <w:r>
        <w:t>ių</w:t>
      </w:r>
      <w:r w:rsidRPr="0079789A">
        <w:t xml:space="preserve"> civilinėse ir administracinėse bylose). Taigi, atkreiptinas dėmesys, jog skelbiant teismo sprendimus viešai neturėtų būti paviešinta byloje dalyvavusius asmenis identifikuojanti informacija (vardai ir pavardės) bei kita, su jais susijusi, asmeninė informacija. Išimtis gali būti daroma tik tuo atveju, jeigu proceso dalyvis yra visuomenei gerai žinomas asmuo. </w:t>
      </w:r>
    </w:p>
    <w:p w:rsidR="00A76F77" w:rsidRDefault="00A76F77" w:rsidP="000A1448">
      <w:pPr>
        <w:spacing w:before="100" w:beforeAutospacing="1" w:after="100" w:afterAutospacing="1" w:line="240" w:lineRule="atLeast"/>
        <w:jc w:val="both"/>
      </w:pPr>
      <w:r w:rsidRPr="0079789A">
        <w:t>ETTT darbo grupė taip pat pabrėžė, jog teismai turėtų sukurti teismo sprendimų nuasmeninim</w:t>
      </w:r>
      <w:r>
        <w:t>o</w:t>
      </w:r>
      <w:r w:rsidRPr="0079789A">
        <w:t xml:space="preserve"> gaires. Šiose gairėse turėtų būti nurodoma, kokie duomenys ir kokiu būdu turi būti nuasmeninami. Gairės turi būti viešai skelbiamos</w:t>
      </w:r>
      <w:r>
        <w:t xml:space="preserve"> bendrojoje</w:t>
      </w:r>
      <w:r w:rsidRPr="0079789A">
        <w:t xml:space="preserve"> teismų </w:t>
      </w:r>
      <w:r>
        <w:t xml:space="preserve">ar atskiro teismo </w:t>
      </w:r>
      <w:r w:rsidRPr="0079789A">
        <w:t xml:space="preserve">interneto svetainėje. </w:t>
      </w:r>
      <w:r>
        <w:t>Dėl procesinių t</w:t>
      </w:r>
      <w:r w:rsidRPr="0079789A">
        <w:t>eismų sprendimų nuasmeninim</w:t>
      </w:r>
      <w:r>
        <w:t>o</w:t>
      </w:r>
      <w:r w:rsidRPr="0079789A">
        <w:t xml:space="preserve"> taip pat rekomenduojama sukurti ir įdiegti specialų IT įrankį.</w:t>
      </w:r>
    </w:p>
    <w:p w:rsidR="00A76F77" w:rsidRPr="001B4174" w:rsidRDefault="00A76F77" w:rsidP="004B3B12">
      <w:pPr>
        <w:spacing w:before="100" w:beforeAutospacing="1" w:after="100" w:afterAutospacing="1" w:line="240" w:lineRule="atLeast"/>
        <w:jc w:val="both"/>
        <w:rPr>
          <w:b/>
          <w:u w:val="single"/>
        </w:rPr>
      </w:pPr>
      <w:r w:rsidRPr="001B4174">
        <w:rPr>
          <w:b/>
          <w:u w:val="single"/>
        </w:rPr>
        <w:t>Rekomendacijos</w:t>
      </w:r>
    </w:p>
    <w:p w:rsidR="00A76F77" w:rsidRPr="0079789A" w:rsidRDefault="00A76F77" w:rsidP="004B3B12">
      <w:pPr>
        <w:spacing w:before="100" w:beforeAutospacing="1" w:after="100" w:afterAutospacing="1" w:line="240" w:lineRule="atLeast"/>
        <w:jc w:val="both"/>
      </w:pPr>
      <w:r>
        <w:t xml:space="preserve">ETTT darbo grupė, apibendrinusi valstybių praktiką, kaip informuojama visuomenė apie priimtus teismų sprendimus, išskyrė šias rekomendacijas: </w:t>
      </w:r>
    </w:p>
    <w:p w:rsidR="00A76F77" w:rsidRPr="00194740" w:rsidRDefault="00A76F77" w:rsidP="00194740">
      <w:pPr>
        <w:pStyle w:val="ListParagraph"/>
        <w:numPr>
          <w:ilvl w:val="0"/>
          <w:numId w:val="2"/>
        </w:numPr>
        <w:spacing w:before="120" w:after="120"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Teis</w:t>
      </w:r>
      <w:r w:rsidRPr="0079789A">
        <w:rPr>
          <w:rFonts w:ascii="Times New Roman" w:hAnsi="Times New Roman"/>
          <w:sz w:val="24"/>
          <w:szCs w:val="24"/>
          <w:lang w:val="lt-LT"/>
        </w:rPr>
        <w:t>mai kiekvienoje šalyje turi turėti savo inte</w:t>
      </w:r>
      <w:r>
        <w:rPr>
          <w:rFonts w:ascii="Times New Roman" w:hAnsi="Times New Roman"/>
          <w:sz w:val="24"/>
          <w:szCs w:val="24"/>
          <w:lang w:val="lt-LT"/>
        </w:rPr>
        <w:t>rneto</w:t>
      </w:r>
      <w:r w:rsidRPr="0079789A">
        <w:rPr>
          <w:rFonts w:ascii="Times New Roman" w:hAnsi="Times New Roman"/>
          <w:sz w:val="24"/>
          <w:szCs w:val="24"/>
          <w:lang w:val="lt-LT"/>
        </w:rPr>
        <w:t xml:space="preserve"> svetainę, </w:t>
      </w:r>
      <w:r>
        <w:rPr>
          <w:rFonts w:ascii="Times New Roman" w:hAnsi="Times New Roman"/>
          <w:sz w:val="24"/>
          <w:szCs w:val="24"/>
          <w:lang w:val="lt-LT"/>
        </w:rPr>
        <w:t>kurioje būtų skelbiami</w:t>
      </w:r>
      <w:r w:rsidRPr="0079789A">
        <w:rPr>
          <w:rFonts w:ascii="Times New Roman" w:hAnsi="Times New Roman"/>
          <w:sz w:val="24"/>
          <w:szCs w:val="24"/>
          <w:lang w:val="lt-LT"/>
        </w:rPr>
        <w:t xml:space="preserve"> </w:t>
      </w:r>
      <w:r>
        <w:rPr>
          <w:rFonts w:ascii="Times New Roman" w:hAnsi="Times New Roman"/>
          <w:sz w:val="24"/>
          <w:szCs w:val="24"/>
          <w:lang w:val="lt-LT"/>
        </w:rPr>
        <w:t>procesiniai t</w:t>
      </w:r>
      <w:r w:rsidRPr="0079789A">
        <w:rPr>
          <w:rFonts w:ascii="Times New Roman" w:hAnsi="Times New Roman"/>
          <w:sz w:val="24"/>
          <w:szCs w:val="24"/>
          <w:lang w:val="lt-LT"/>
        </w:rPr>
        <w:t xml:space="preserve">eismų sprendimai. </w:t>
      </w:r>
    </w:p>
    <w:p w:rsidR="00A76F77" w:rsidRPr="0079789A" w:rsidRDefault="00A76F77" w:rsidP="00194740">
      <w:pPr>
        <w:pStyle w:val="ListParagraph"/>
        <w:numPr>
          <w:ilvl w:val="0"/>
          <w:numId w:val="2"/>
        </w:numPr>
        <w:spacing w:before="120" w:after="120"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lastRenderedPageBreak/>
        <w:t>Teismų (teismo) interneto svetainėje</w:t>
      </w:r>
      <w:r w:rsidRPr="0079789A">
        <w:rPr>
          <w:rFonts w:ascii="Times New Roman" w:hAnsi="Times New Roman"/>
          <w:sz w:val="24"/>
          <w:szCs w:val="24"/>
          <w:lang w:val="lt-LT"/>
        </w:rPr>
        <w:t xml:space="preserve"> </w:t>
      </w:r>
      <w:r>
        <w:rPr>
          <w:rFonts w:ascii="Times New Roman" w:hAnsi="Times New Roman"/>
          <w:sz w:val="24"/>
          <w:szCs w:val="24"/>
          <w:lang w:val="lt-LT"/>
        </w:rPr>
        <w:t>turėtų būti</w:t>
      </w:r>
      <w:r w:rsidRPr="0079789A">
        <w:rPr>
          <w:rFonts w:ascii="Times New Roman" w:hAnsi="Times New Roman"/>
          <w:sz w:val="24"/>
          <w:szCs w:val="24"/>
          <w:lang w:val="lt-LT"/>
        </w:rPr>
        <w:t xml:space="preserve"> </w:t>
      </w:r>
      <w:r>
        <w:rPr>
          <w:rFonts w:ascii="Times New Roman" w:hAnsi="Times New Roman"/>
          <w:sz w:val="24"/>
          <w:szCs w:val="24"/>
          <w:lang w:val="lt-LT"/>
        </w:rPr>
        <w:t>teikiama</w:t>
      </w:r>
      <w:r w:rsidRPr="0079789A">
        <w:rPr>
          <w:rFonts w:ascii="Times New Roman" w:hAnsi="Times New Roman"/>
          <w:sz w:val="24"/>
          <w:szCs w:val="24"/>
          <w:lang w:val="lt-LT"/>
        </w:rPr>
        <w:t xml:space="preserve"> informacija, skirta tiek profesionalams (t</w:t>
      </w:r>
      <w:r>
        <w:rPr>
          <w:rFonts w:ascii="Times New Roman" w:hAnsi="Times New Roman"/>
          <w:sz w:val="24"/>
          <w:szCs w:val="24"/>
          <w:lang w:val="lt-LT"/>
        </w:rPr>
        <w:t>eisininkams), tiek visuomenės informavimo priemonių</w:t>
      </w:r>
      <w:r w:rsidRPr="0079789A">
        <w:rPr>
          <w:rFonts w:ascii="Times New Roman" w:hAnsi="Times New Roman"/>
          <w:sz w:val="24"/>
          <w:szCs w:val="24"/>
          <w:lang w:val="lt-LT"/>
        </w:rPr>
        <w:t xml:space="preserve"> atstovams ir visuomenei.</w:t>
      </w:r>
    </w:p>
    <w:p w:rsidR="00A76F77" w:rsidRPr="0079789A" w:rsidRDefault="00A76F77" w:rsidP="00194740">
      <w:pPr>
        <w:pStyle w:val="ListParagraph"/>
        <w:numPr>
          <w:ilvl w:val="0"/>
          <w:numId w:val="2"/>
        </w:numPr>
        <w:spacing w:before="120" w:after="120" w:line="240" w:lineRule="atLeast"/>
        <w:ind w:left="714" w:hanging="357"/>
        <w:contextualSpacing w:val="0"/>
        <w:jc w:val="both"/>
        <w:rPr>
          <w:rFonts w:ascii="Times New Roman" w:hAnsi="Times New Roman"/>
          <w:sz w:val="24"/>
          <w:szCs w:val="24"/>
          <w:lang w:val="lt-LT"/>
        </w:rPr>
      </w:pPr>
      <w:r w:rsidRPr="0079789A">
        <w:rPr>
          <w:rFonts w:ascii="Times New Roman" w:hAnsi="Times New Roman"/>
          <w:sz w:val="24"/>
          <w:szCs w:val="24"/>
          <w:lang w:val="lt-LT"/>
        </w:rPr>
        <w:t xml:space="preserve">Interneto svetainėje turėtų būti sudaryta </w:t>
      </w:r>
      <w:r>
        <w:rPr>
          <w:rFonts w:ascii="Times New Roman" w:hAnsi="Times New Roman"/>
          <w:sz w:val="24"/>
          <w:szCs w:val="24"/>
          <w:lang w:val="lt-LT"/>
        </w:rPr>
        <w:t xml:space="preserve">procesinių </w:t>
      </w:r>
      <w:r w:rsidRPr="0079789A">
        <w:rPr>
          <w:rFonts w:ascii="Times New Roman" w:hAnsi="Times New Roman"/>
          <w:sz w:val="24"/>
          <w:szCs w:val="24"/>
          <w:lang w:val="lt-LT"/>
        </w:rPr>
        <w:t>teismų sprendimų duomenų bazė, kuri būtų laisvai ir nemokama</w:t>
      </w:r>
      <w:r>
        <w:rPr>
          <w:rFonts w:ascii="Times New Roman" w:hAnsi="Times New Roman"/>
          <w:sz w:val="24"/>
          <w:szCs w:val="24"/>
          <w:lang w:val="lt-LT"/>
        </w:rPr>
        <w:t>i pasiekiama visuomenei. Tokioje duomenų bazėje turėtų būti įdiegtas</w:t>
      </w:r>
      <w:r w:rsidRPr="0079789A">
        <w:rPr>
          <w:rFonts w:ascii="Times New Roman" w:hAnsi="Times New Roman"/>
          <w:sz w:val="24"/>
          <w:szCs w:val="24"/>
          <w:lang w:val="lt-LT"/>
        </w:rPr>
        <w:t xml:space="preserve"> paieškos įrankis, veikiantis </w:t>
      </w:r>
      <w:r>
        <w:rPr>
          <w:rFonts w:ascii="Times New Roman" w:hAnsi="Times New Roman"/>
          <w:sz w:val="24"/>
          <w:szCs w:val="24"/>
          <w:lang w:val="lt-LT"/>
        </w:rPr>
        <w:t>raktažodžių pagrindu</w:t>
      </w:r>
      <w:r w:rsidRPr="0079789A">
        <w:rPr>
          <w:rFonts w:ascii="Times New Roman" w:hAnsi="Times New Roman"/>
          <w:sz w:val="24"/>
          <w:szCs w:val="24"/>
          <w:lang w:val="lt-LT"/>
        </w:rPr>
        <w:t>.</w:t>
      </w:r>
    </w:p>
    <w:p w:rsidR="00A76F77" w:rsidRDefault="00A76F77" w:rsidP="00194740">
      <w:pPr>
        <w:pStyle w:val="ListParagraph"/>
        <w:numPr>
          <w:ilvl w:val="0"/>
          <w:numId w:val="2"/>
        </w:numPr>
        <w:spacing w:before="120" w:after="120"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 xml:space="preserve">Į </w:t>
      </w:r>
      <w:r w:rsidRPr="0079789A">
        <w:rPr>
          <w:rFonts w:ascii="Times New Roman" w:hAnsi="Times New Roman"/>
          <w:sz w:val="24"/>
          <w:szCs w:val="24"/>
          <w:lang w:val="lt-LT"/>
        </w:rPr>
        <w:t>duomenų baz</w:t>
      </w:r>
      <w:r>
        <w:rPr>
          <w:rFonts w:ascii="Times New Roman" w:hAnsi="Times New Roman"/>
          <w:sz w:val="24"/>
          <w:szCs w:val="24"/>
          <w:lang w:val="lt-LT"/>
        </w:rPr>
        <w:t>ę įdėti procesiniai teismų</w:t>
      </w:r>
      <w:r w:rsidRPr="0079789A">
        <w:rPr>
          <w:rFonts w:ascii="Times New Roman" w:hAnsi="Times New Roman"/>
          <w:sz w:val="24"/>
          <w:szCs w:val="24"/>
          <w:lang w:val="lt-LT"/>
        </w:rPr>
        <w:t xml:space="preserve"> sprendimai turi būti pate</w:t>
      </w:r>
      <w:r>
        <w:rPr>
          <w:rFonts w:ascii="Times New Roman" w:hAnsi="Times New Roman"/>
          <w:sz w:val="24"/>
          <w:szCs w:val="24"/>
          <w:lang w:val="lt-LT"/>
        </w:rPr>
        <w:t>ikiami kartu su trumpu bylos apibendrinimu</w:t>
      </w:r>
      <w:r w:rsidRPr="0079789A">
        <w:rPr>
          <w:rFonts w:ascii="Times New Roman" w:hAnsi="Times New Roman"/>
          <w:sz w:val="24"/>
          <w:szCs w:val="24"/>
          <w:lang w:val="lt-LT"/>
        </w:rPr>
        <w:t>.</w:t>
      </w:r>
    </w:p>
    <w:p w:rsidR="00A76F77" w:rsidRPr="00194740" w:rsidRDefault="00A76F77" w:rsidP="00194740">
      <w:pPr>
        <w:pStyle w:val="ListParagraph"/>
        <w:numPr>
          <w:ilvl w:val="0"/>
          <w:numId w:val="2"/>
        </w:numPr>
        <w:spacing w:before="120" w:after="120" w:line="240" w:lineRule="atLeast"/>
        <w:ind w:left="714" w:hanging="357"/>
        <w:contextualSpacing w:val="0"/>
        <w:jc w:val="both"/>
        <w:rPr>
          <w:rFonts w:ascii="Times New Roman" w:hAnsi="Times New Roman"/>
          <w:sz w:val="24"/>
          <w:szCs w:val="24"/>
          <w:lang w:val="lt-LT"/>
        </w:rPr>
      </w:pPr>
      <w:r w:rsidRPr="00194740">
        <w:rPr>
          <w:rFonts w:ascii="Times New Roman" w:hAnsi="Times New Roman"/>
          <w:sz w:val="24"/>
          <w:szCs w:val="24"/>
          <w:lang w:val="lt-LT"/>
        </w:rPr>
        <w:t xml:space="preserve">Visi Aukščiausiojo Teismo ir aukštesniųjų instancijų teismų sprendimai turėtų būti skelbiami internete. Kiti teismai turėtų skelbti svarbiausių priimtų procesinių sprendimų rinkinius. Jeigu daroma </w:t>
      </w:r>
      <w:r>
        <w:rPr>
          <w:rFonts w:ascii="Times New Roman" w:hAnsi="Times New Roman"/>
          <w:sz w:val="24"/>
          <w:szCs w:val="24"/>
          <w:lang w:val="lt-LT"/>
        </w:rPr>
        <w:t xml:space="preserve">skelbtinų </w:t>
      </w:r>
      <w:r w:rsidRPr="00194740">
        <w:rPr>
          <w:rFonts w:ascii="Times New Roman" w:hAnsi="Times New Roman"/>
          <w:sz w:val="24"/>
          <w:szCs w:val="24"/>
          <w:lang w:val="lt-LT"/>
        </w:rPr>
        <w:t>teismo sprendimų atranka, tokios atrankos kriterijai turi būti viešai skelbiami bendrojoje teismų ar (ir) atskiro teismo interneto svetainėje. Bendrieji rekomendaciniai teismų sprendimų</w:t>
      </w:r>
      <w:r>
        <w:rPr>
          <w:rFonts w:ascii="Times New Roman" w:hAnsi="Times New Roman"/>
          <w:sz w:val="24"/>
          <w:szCs w:val="24"/>
          <w:lang w:val="lt-LT"/>
        </w:rPr>
        <w:t>, skelbtinų internete,</w:t>
      </w:r>
      <w:r w:rsidRPr="00194740">
        <w:rPr>
          <w:rFonts w:ascii="Times New Roman" w:hAnsi="Times New Roman"/>
          <w:sz w:val="24"/>
          <w:szCs w:val="24"/>
          <w:lang w:val="lt-LT"/>
        </w:rPr>
        <w:t xml:space="preserve"> atrank</w:t>
      </w:r>
      <w:r>
        <w:rPr>
          <w:rFonts w:ascii="Times New Roman" w:hAnsi="Times New Roman"/>
          <w:sz w:val="24"/>
          <w:szCs w:val="24"/>
          <w:lang w:val="lt-LT"/>
        </w:rPr>
        <w:t>os</w:t>
      </w:r>
      <w:r w:rsidRPr="00194740">
        <w:rPr>
          <w:rFonts w:ascii="Times New Roman" w:hAnsi="Times New Roman"/>
          <w:sz w:val="24"/>
          <w:szCs w:val="24"/>
          <w:lang w:val="lt-LT"/>
        </w:rPr>
        <w:t xml:space="preserve"> kriterijai:</w:t>
      </w:r>
    </w:p>
    <w:p w:rsidR="00A76F77" w:rsidRPr="0079789A" w:rsidRDefault="00A76F77" w:rsidP="00923755">
      <w:pPr>
        <w:pStyle w:val="ListParagraph"/>
        <w:numPr>
          <w:ilvl w:val="0"/>
          <w:numId w:val="9"/>
        </w:numPr>
        <w:spacing w:before="120" w:after="120" w:line="240" w:lineRule="atLeast"/>
        <w:ind w:left="1701" w:hanging="357"/>
        <w:jc w:val="both"/>
        <w:rPr>
          <w:rFonts w:ascii="Times New Roman" w:hAnsi="Times New Roman"/>
          <w:sz w:val="24"/>
          <w:szCs w:val="24"/>
          <w:lang w:val="lt-LT"/>
        </w:rPr>
      </w:pPr>
      <w:r w:rsidRPr="0079789A">
        <w:rPr>
          <w:rFonts w:ascii="Times New Roman" w:hAnsi="Times New Roman"/>
          <w:sz w:val="24"/>
          <w:szCs w:val="24"/>
          <w:lang w:val="lt-LT"/>
        </w:rPr>
        <w:t xml:space="preserve">visuomenės informavimo priemonių atstovai </w:t>
      </w:r>
      <w:r>
        <w:rPr>
          <w:rFonts w:ascii="Times New Roman" w:hAnsi="Times New Roman"/>
          <w:sz w:val="24"/>
          <w:szCs w:val="24"/>
          <w:lang w:val="lt-LT"/>
        </w:rPr>
        <w:t>domisi šiuo sprendimu</w:t>
      </w:r>
      <w:r w:rsidRPr="0079789A">
        <w:rPr>
          <w:rFonts w:ascii="Times New Roman" w:hAnsi="Times New Roman"/>
          <w:sz w:val="24"/>
          <w:szCs w:val="24"/>
          <w:lang w:val="lt-LT"/>
        </w:rPr>
        <w:t>;</w:t>
      </w:r>
    </w:p>
    <w:p w:rsidR="00A76F77" w:rsidRPr="0079789A" w:rsidRDefault="00A76F77" w:rsidP="00923755">
      <w:pPr>
        <w:pStyle w:val="ListParagraph"/>
        <w:numPr>
          <w:ilvl w:val="0"/>
          <w:numId w:val="9"/>
        </w:numPr>
        <w:spacing w:before="120" w:after="120" w:line="240" w:lineRule="atLeast"/>
        <w:ind w:left="1701" w:hanging="357"/>
        <w:jc w:val="both"/>
        <w:rPr>
          <w:rFonts w:ascii="Times New Roman" w:hAnsi="Times New Roman"/>
          <w:sz w:val="24"/>
          <w:szCs w:val="24"/>
          <w:lang w:val="lt-LT"/>
        </w:rPr>
      </w:pPr>
      <w:r>
        <w:rPr>
          <w:rFonts w:ascii="Times New Roman" w:hAnsi="Times New Roman"/>
          <w:sz w:val="24"/>
          <w:szCs w:val="24"/>
          <w:lang w:val="lt-LT"/>
        </w:rPr>
        <w:t xml:space="preserve">byla, kurioje priimtas sprendimas, </w:t>
      </w:r>
      <w:r w:rsidRPr="004E2D32">
        <w:rPr>
          <w:rFonts w:ascii="Times New Roman" w:hAnsi="Times New Roman"/>
          <w:sz w:val="24"/>
          <w:szCs w:val="24"/>
          <w:lang w:val="lt-LT"/>
        </w:rPr>
        <w:t>sulaukė didelio visuomenės dė</w:t>
      </w:r>
      <w:r>
        <w:rPr>
          <w:rFonts w:ascii="Times New Roman" w:hAnsi="Times New Roman"/>
          <w:sz w:val="24"/>
          <w:szCs w:val="24"/>
          <w:lang w:val="lt-LT"/>
        </w:rPr>
        <w:t>mesio</w:t>
      </w:r>
      <w:r w:rsidRPr="004E2D32">
        <w:rPr>
          <w:rFonts w:ascii="Times New Roman" w:hAnsi="Times New Roman"/>
          <w:sz w:val="24"/>
          <w:szCs w:val="24"/>
          <w:lang w:val="lt-LT"/>
        </w:rPr>
        <w:t>;</w:t>
      </w:r>
    </w:p>
    <w:p w:rsidR="00A76F77" w:rsidRPr="0079789A" w:rsidRDefault="00A76F77" w:rsidP="00923755">
      <w:pPr>
        <w:pStyle w:val="ListParagraph"/>
        <w:numPr>
          <w:ilvl w:val="0"/>
          <w:numId w:val="9"/>
        </w:numPr>
        <w:spacing w:before="120" w:after="120" w:line="240" w:lineRule="atLeast"/>
        <w:ind w:left="1701" w:hanging="357"/>
        <w:jc w:val="both"/>
        <w:rPr>
          <w:rFonts w:ascii="Times New Roman" w:hAnsi="Times New Roman"/>
          <w:sz w:val="24"/>
          <w:szCs w:val="24"/>
          <w:lang w:val="lt-LT"/>
        </w:rPr>
      </w:pPr>
      <w:r w:rsidRPr="0079789A">
        <w:rPr>
          <w:rFonts w:ascii="Times New Roman" w:hAnsi="Times New Roman"/>
          <w:sz w:val="24"/>
          <w:szCs w:val="24"/>
          <w:lang w:val="lt-LT"/>
        </w:rPr>
        <w:t>sprendimas gali turėti įtakos įstatymų ar kitų teisės aktų aiškinimui ar (ir) taikymui;</w:t>
      </w:r>
    </w:p>
    <w:p w:rsidR="00A76F77" w:rsidRPr="0079789A" w:rsidRDefault="00A76F77" w:rsidP="00923755">
      <w:pPr>
        <w:pStyle w:val="ListParagraph"/>
        <w:numPr>
          <w:ilvl w:val="0"/>
          <w:numId w:val="9"/>
        </w:numPr>
        <w:spacing w:before="120" w:after="120" w:line="240" w:lineRule="atLeast"/>
        <w:ind w:left="1701" w:hanging="357"/>
        <w:contextualSpacing w:val="0"/>
        <w:jc w:val="both"/>
        <w:rPr>
          <w:rFonts w:ascii="Times New Roman" w:hAnsi="Times New Roman"/>
          <w:sz w:val="24"/>
          <w:szCs w:val="24"/>
          <w:lang w:val="lt-LT"/>
        </w:rPr>
      </w:pPr>
      <w:r w:rsidRPr="0079789A">
        <w:rPr>
          <w:rFonts w:ascii="Times New Roman" w:hAnsi="Times New Roman"/>
          <w:sz w:val="24"/>
          <w:szCs w:val="24"/>
          <w:lang w:val="lt-LT"/>
        </w:rPr>
        <w:t>spren</w:t>
      </w:r>
      <w:r>
        <w:rPr>
          <w:rFonts w:ascii="Times New Roman" w:hAnsi="Times New Roman"/>
          <w:sz w:val="24"/>
          <w:szCs w:val="24"/>
          <w:lang w:val="lt-LT"/>
        </w:rPr>
        <w:t>dimas yra svarbus specializuotų visuomenės informavimo priemonių atstovams, veikiantiems</w:t>
      </w:r>
      <w:r w:rsidRPr="0079789A">
        <w:rPr>
          <w:rFonts w:ascii="Times New Roman" w:hAnsi="Times New Roman"/>
          <w:sz w:val="24"/>
          <w:szCs w:val="24"/>
          <w:lang w:val="lt-LT"/>
        </w:rPr>
        <w:t xml:space="preserve"> teisės ir teisingumo srityje.</w:t>
      </w:r>
    </w:p>
    <w:p w:rsidR="00A76F77" w:rsidRPr="00A070AA" w:rsidRDefault="00A76F77" w:rsidP="008E7804">
      <w:pPr>
        <w:pStyle w:val="ListParagraph"/>
        <w:numPr>
          <w:ilvl w:val="0"/>
          <w:numId w:val="2"/>
        </w:numPr>
        <w:spacing w:before="120" w:after="120"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Siekiant apsaugoti proceso dalyvių interesus</w:t>
      </w:r>
      <w:r w:rsidRPr="00A070AA">
        <w:rPr>
          <w:rFonts w:ascii="Times New Roman" w:hAnsi="Times New Roman"/>
          <w:sz w:val="24"/>
          <w:szCs w:val="24"/>
          <w:lang w:val="lt-LT"/>
        </w:rPr>
        <w:t>, teismų sprendimai</w:t>
      </w:r>
      <w:r>
        <w:rPr>
          <w:rFonts w:ascii="Times New Roman" w:hAnsi="Times New Roman"/>
          <w:sz w:val="24"/>
          <w:szCs w:val="24"/>
          <w:lang w:val="lt-LT"/>
        </w:rPr>
        <w:t xml:space="preserve"> prieš skelbimą internete</w:t>
      </w:r>
      <w:r w:rsidRPr="00A070AA">
        <w:rPr>
          <w:rFonts w:ascii="Times New Roman" w:hAnsi="Times New Roman"/>
          <w:sz w:val="24"/>
          <w:szCs w:val="24"/>
          <w:lang w:val="lt-LT"/>
        </w:rPr>
        <w:t xml:space="preserve"> turi būti nuasmeninami. </w:t>
      </w:r>
    </w:p>
    <w:p w:rsidR="00A76F77" w:rsidRPr="00E97B6A" w:rsidRDefault="00A76F77" w:rsidP="008E7804">
      <w:pPr>
        <w:pStyle w:val="ListParagraph"/>
        <w:numPr>
          <w:ilvl w:val="0"/>
          <w:numId w:val="2"/>
        </w:numPr>
        <w:spacing w:before="120" w:after="120"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Re</w:t>
      </w:r>
      <w:r w:rsidRPr="00E97B6A">
        <w:rPr>
          <w:rFonts w:ascii="Times New Roman" w:hAnsi="Times New Roman"/>
          <w:sz w:val="24"/>
          <w:szCs w:val="24"/>
          <w:lang w:val="lt-LT"/>
        </w:rPr>
        <w:t xml:space="preserve">zonansinių bylų apibendrinimai internete </w:t>
      </w:r>
      <w:r>
        <w:rPr>
          <w:rFonts w:ascii="Times New Roman" w:hAnsi="Times New Roman"/>
          <w:sz w:val="24"/>
          <w:szCs w:val="24"/>
          <w:lang w:val="lt-LT"/>
        </w:rPr>
        <w:t>turėtų būti</w:t>
      </w:r>
      <w:r w:rsidRPr="00E97B6A">
        <w:rPr>
          <w:rFonts w:ascii="Times New Roman" w:hAnsi="Times New Roman"/>
          <w:sz w:val="24"/>
          <w:szCs w:val="24"/>
          <w:lang w:val="lt-LT"/>
        </w:rPr>
        <w:t xml:space="preserve"> pateikti kuo paprasčiau ir aiškiau </w:t>
      </w:r>
      <w:r>
        <w:rPr>
          <w:rFonts w:ascii="Times New Roman" w:hAnsi="Times New Roman"/>
          <w:sz w:val="24"/>
          <w:szCs w:val="24"/>
          <w:lang w:val="lt-LT"/>
        </w:rPr>
        <w:t>suformuluoti</w:t>
      </w:r>
      <w:r w:rsidRPr="00E97B6A">
        <w:rPr>
          <w:rFonts w:ascii="Times New Roman" w:hAnsi="Times New Roman"/>
          <w:sz w:val="24"/>
          <w:szCs w:val="24"/>
          <w:lang w:val="lt-LT"/>
        </w:rPr>
        <w:t>.</w:t>
      </w:r>
    </w:p>
    <w:p w:rsidR="00A76F77" w:rsidRPr="004B3B12" w:rsidRDefault="00A76F77" w:rsidP="008E7804">
      <w:pPr>
        <w:pStyle w:val="ListParagraph"/>
        <w:numPr>
          <w:ilvl w:val="0"/>
          <w:numId w:val="2"/>
        </w:numPr>
        <w:spacing w:before="120" w:after="120"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R</w:t>
      </w:r>
      <w:r w:rsidRPr="00E97B6A">
        <w:rPr>
          <w:rFonts w:ascii="Times New Roman" w:hAnsi="Times New Roman"/>
          <w:sz w:val="24"/>
          <w:szCs w:val="24"/>
          <w:lang w:val="lt-LT"/>
        </w:rPr>
        <w:t xml:space="preserve">ekomenduojama </w:t>
      </w:r>
      <w:r>
        <w:rPr>
          <w:rFonts w:ascii="Times New Roman" w:hAnsi="Times New Roman"/>
          <w:sz w:val="24"/>
          <w:szCs w:val="24"/>
          <w:lang w:val="lt-LT"/>
        </w:rPr>
        <w:t>p</w:t>
      </w:r>
      <w:r w:rsidRPr="00E97B6A">
        <w:rPr>
          <w:rFonts w:ascii="Times New Roman" w:hAnsi="Times New Roman"/>
          <w:sz w:val="24"/>
          <w:szCs w:val="24"/>
          <w:lang w:val="lt-LT"/>
        </w:rPr>
        <w:t>askelb</w:t>
      </w:r>
      <w:r>
        <w:rPr>
          <w:rFonts w:ascii="Times New Roman" w:hAnsi="Times New Roman"/>
          <w:sz w:val="24"/>
          <w:szCs w:val="24"/>
          <w:lang w:val="lt-LT"/>
        </w:rPr>
        <w:t>tą</w:t>
      </w:r>
      <w:r w:rsidRPr="00E97B6A">
        <w:rPr>
          <w:rFonts w:ascii="Times New Roman" w:hAnsi="Times New Roman"/>
          <w:sz w:val="24"/>
          <w:szCs w:val="24"/>
          <w:lang w:val="lt-LT"/>
        </w:rPr>
        <w:t xml:space="preserve"> teismo sprendimą rezonansinėje byloje nedelsiant </w:t>
      </w:r>
      <w:r>
        <w:rPr>
          <w:rFonts w:ascii="Times New Roman" w:hAnsi="Times New Roman"/>
          <w:sz w:val="24"/>
          <w:szCs w:val="24"/>
          <w:lang w:val="lt-LT"/>
        </w:rPr>
        <w:t>iš</w:t>
      </w:r>
      <w:r w:rsidRPr="00E97B6A">
        <w:rPr>
          <w:rFonts w:ascii="Times New Roman" w:hAnsi="Times New Roman"/>
          <w:sz w:val="24"/>
          <w:szCs w:val="24"/>
          <w:lang w:val="lt-LT"/>
        </w:rPr>
        <w:t>spausd</w:t>
      </w:r>
      <w:r>
        <w:rPr>
          <w:rFonts w:ascii="Times New Roman" w:hAnsi="Times New Roman"/>
          <w:sz w:val="24"/>
          <w:szCs w:val="24"/>
          <w:lang w:val="lt-LT"/>
        </w:rPr>
        <w:t>inti ir išplatinti visuomenės informavimo priemonių atstovam</w:t>
      </w:r>
      <w:r w:rsidRPr="00E97B6A">
        <w:rPr>
          <w:rFonts w:ascii="Times New Roman" w:hAnsi="Times New Roman"/>
          <w:sz w:val="24"/>
          <w:szCs w:val="24"/>
          <w:lang w:val="lt-LT"/>
        </w:rPr>
        <w:t>s.</w:t>
      </w:r>
    </w:p>
    <w:p w:rsidR="00A76F77" w:rsidRPr="0079789A" w:rsidRDefault="00A76F77" w:rsidP="000A1448">
      <w:pPr>
        <w:spacing w:before="100" w:beforeAutospacing="1" w:after="100" w:afterAutospacing="1" w:line="240" w:lineRule="atLeast"/>
        <w:jc w:val="both"/>
        <w:rPr>
          <w:b/>
          <w:u w:val="single"/>
        </w:rPr>
      </w:pPr>
      <w:r>
        <w:rPr>
          <w:b/>
          <w:u w:val="single"/>
        </w:rPr>
        <w:t>II</w:t>
      </w:r>
      <w:r w:rsidRPr="0079789A">
        <w:rPr>
          <w:b/>
          <w:u w:val="single"/>
        </w:rPr>
        <w:t>. Teismų komunikacija su visuomenės informavimo priemonių atstovais</w:t>
      </w:r>
    </w:p>
    <w:p w:rsidR="00A76F77" w:rsidRPr="00906405" w:rsidRDefault="00A76F77" w:rsidP="00906405">
      <w:pPr>
        <w:spacing w:before="100" w:beforeAutospacing="1" w:after="100" w:afterAutospacing="1" w:line="240" w:lineRule="atLeast"/>
        <w:jc w:val="both"/>
      </w:pPr>
      <w:r w:rsidRPr="00906405">
        <w:t>Daugelis šalių</w:t>
      </w:r>
      <w:r>
        <w:t>,</w:t>
      </w:r>
      <w:r w:rsidRPr="00906405">
        <w:t xml:space="preserve"> dalyvavusių apklausoje</w:t>
      </w:r>
      <w:r>
        <w:t>,</w:t>
      </w:r>
      <w:r w:rsidRPr="00906405">
        <w:t xml:space="preserve"> pabrėžė, jog komunikavimo su </w:t>
      </w:r>
      <w:r>
        <w:t xml:space="preserve">visuomenės informavimo priemonių </w:t>
      </w:r>
      <w:r w:rsidRPr="00906405">
        <w:t xml:space="preserve">atstovais problemos išlieka svarbus faktorius, </w:t>
      </w:r>
      <w:r w:rsidRPr="00A11B72">
        <w:t xml:space="preserve">siekiant </w:t>
      </w:r>
      <w:r w:rsidR="00177FC6" w:rsidRPr="00A11B72">
        <w:t>rimtesnio</w:t>
      </w:r>
      <w:r>
        <w:t xml:space="preserve"> teismų požiūrio į visuomenės informavimo </w:t>
      </w:r>
      <w:r w:rsidRPr="00906405">
        <w:t xml:space="preserve">priemones. Šalys sutinka, kad teismų bendradarbiavimo su </w:t>
      </w:r>
      <w:r>
        <w:t xml:space="preserve">visuomenės informavimo priemonių </w:t>
      </w:r>
      <w:r w:rsidRPr="00906405">
        <w:t xml:space="preserve">atstovais stiprinimas turėtų būti išskirtinis Teisėjų tarybos uždavinys. </w:t>
      </w:r>
      <w:r>
        <w:t xml:space="preserve">Taigi </w:t>
      </w:r>
      <w:r w:rsidRPr="00906405">
        <w:t>Teisėjų taryba turėtų ne tik nubrėžti gaires, bet ir palaikyti teismus jiems bendraujant su</w:t>
      </w:r>
      <w:r>
        <w:t xml:space="preserve"> visuomenės informavimo priemonių atstovais</w:t>
      </w:r>
      <w:r w:rsidRPr="00906405">
        <w:t>.</w:t>
      </w:r>
    </w:p>
    <w:p w:rsidR="00A76F77" w:rsidRDefault="00A76F77" w:rsidP="004A4B9E">
      <w:pPr>
        <w:spacing w:before="100" w:beforeAutospacing="1" w:after="100" w:afterAutospacing="1" w:line="240" w:lineRule="atLeast"/>
        <w:jc w:val="both"/>
        <w:rPr>
          <w:lang w:val="fi-FI"/>
        </w:rPr>
      </w:pPr>
      <w:r w:rsidRPr="004A4B9E">
        <w:t xml:space="preserve">Daugelis šalių kaip pagrindinę teismų bendradarbiavimo su </w:t>
      </w:r>
      <w:r>
        <w:t xml:space="preserve">visuomenės informavimo priemonių atstovais </w:t>
      </w:r>
      <w:r w:rsidRPr="004A4B9E">
        <w:t>stiprinim</w:t>
      </w:r>
      <w:r>
        <w:t>o</w:t>
      </w:r>
      <w:r w:rsidRPr="004A4B9E">
        <w:t xml:space="preserve"> priežastį įvardija teigiamą teismų sistemos įvaizdžio formavimą per visuomenės informavimo priemones. </w:t>
      </w:r>
      <w:proofErr w:type="spellStart"/>
      <w:r w:rsidRPr="004A4B9E">
        <w:rPr>
          <w:lang w:val="fi-FI"/>
        </w:rPr>
        <w:t>Visuomenės</w:t>
      </w:r>
      <w:proofErr w:type="spellEnd"/>
      <w:r w:rsidRPr="004A4B9E">
        <w:rPr>
          <w:lang w:val="fi-FI"/>
        </w:rPr>
        <w:t xml:space="preserve"> </w:t>
      </w:r>
      <w:proofErr w:type="spellStart"/>
      <w:r w:rsidRPr="004A4B9E">
        <w:rPr>
          <w:lang w:val="fi-FI"/>
        </w:rPr>
        <w:t>nuomonė</w:t>
      </w:r>
      <w:proofErr w:type="spellEnd"/>
      <w:r w:rsidRPr="004A4B9E">
        <w:rPr>
          <w:lang w:val="fi-FI"/>
        </w:rPr>
        <w:t xml:space="preserve"> </w:t>
      </w:r>
      <w:proofErr w:type="spellStart"/>
      <w:r w:rsidRPr="004A4B9E">
        <w:rPr>
          <w:lang w:val="fi-FI"/>
        </w:rPr>
        <w:t>apie</w:t>
      </w:r>
      <w:proofErr w:type="spellEnd"/>
      <w:r w:rsidRPr="004A4B9E">
        <w:rPr>
          <w:lang w:val="fi-FI"/>
        </w:rPr>
        <w:t xml:space="preserve"> </w:t>
      </w:r>
      <w:proofErr w:type="spellStart"/>
      <w:r w:rsidRPr="004A4B9E">
        <w:rPr>
          <w:lang w:val="fi-FI"/>
        </w:rPr>
        <w:t>teismus</w:t>
      </w:r>
      <w:proofErr w:type="spellEnd"/>
      <w:r w:rsidRPr="004A4B9E">
        <w:rPr>
          <w:lang w:val="fi-FI"/>
        </w:rPr>
        <w:t xml:space="preserve"> </w:t>
      </w:r>
      <w:proofErr w:type="spellStart"/>
      <w:r w:rsidRPr="004A4B9E">
        <w:rPr>
          <w:lang w:val="fi-FI"/>
        </w:rPr>
        <w:t>labiausiai</w:t>
      </w:r>
      <w:proofErr w:type="spellEnd"/>
      <w:r w:rsidRPr="004A4B9E">
        <w:rPr>
          <w:lang w:val="fi-FI"/>
        </w:rPr>
        <w:t xml:space="preserve"> </w:t>
      </w:r>
      <w:proofErr w:type="spellStart"/>
      <w:r w:rsidRPr="004A4B9E">
        <w:rPr>
          <w:lang w:val="fi-FI"/>
        </w:rPr>
        <w:t>veikiama</w:t>
      </w:r>
      <w:proofErr w:type="spellEnd"/>
      <w:r w:rsidRPr="004A4B9E">
        <w:rPr>
          <w:lang w:val="fi-FI"/>
        </w:rPr>
        <w:t xml:space="preserve"> per </w:t>
      </w:r>
      <w:proofErr w:type="spellStart"/>
      <w:r w:rsidRPr="004A4B9E">
        <w:rPr>
          <w:lang w:val="fi-FI"/>
        </w:rPr>
        <w:t>pranešimus</w:t>
      </w:r>
      <w:proofErr w:type="spellEnd"/>
      <w:r w:rsidRPr="004A4B9E">
        <w:rPr>
          <w:lang w:val="fi-FI"/>
        </w:rPr>
        <w:t xml:space="preserve"> </w:t>
      </w:r>
      <w:proofErr w:type="spellStart"/>
      <w:r w:rsidRPr="004A4B9E">
        <w:rPr>
          <w:lang w:val="fi-FI"/>
        </w:rPr>
        <w:t>spaudoje</w:t>
      </w:r>
      <w:proofErr w:type="spellEnd"/>
      <w:r w:rsidRPr="004A4B9E">
        <w:rPr>
          <w:lang w:val="fi-FI"/>
        </w:rPr>
        <w:t xml:space="preserve">, </w:t>
      </w:r>
      <w:proofErr w:type="spellStart"/>
      <w:r w:rsidRPr="004A4B9E">
        <w:rPr>
          <w:lang w:val="fi-FI"/>
        </w:rPr>
        <w:t>radijuje</w:t>
      </w:r>
      <w:proofErr w:type="spellEnd"/>
      <w:r w:rsidRPr="004A4B9E">
        <w:rPr>
          <w:lang w:val="fi-FI"/>
        </w:rPr>
        <w:t xml:space="preserve"> </w:t>
      </w:r>
      <w:proofErr w:type="spellStart"/>
      <w:r w:rsidRPr="004A4B9E">
        <w:rPr>
          <w:lang w:val="fi-FI"/>
        </w:rPr>
        <w:t>bei</w:t>
      </w:r>
      <w:proofErr w:type="spellEnd"/>
      <w:r w:rsidRPr="004A4B9E">
        <w:rPr>
          <w:lang w:val="fi-FI"/>
        </w:rPr>
        <w:t xml:space="preserve"> </w:t>
      </w:r>
      <w:proofErr w:type="spellStart"/>
      <w:r>
        <w:rPr>
          <w:lang w:val="fi-FI"/>
        </w:rPr>
        <w:t>televizijoje</w:t>
      </w:r>
      <w:proofErr w:type="spellEnd"/>
      <w:r>
        <w:rPr>
          <w:lang w:val="fi-FI"/>
        </w:rPr>
        <w:t xml:space="preserve">. </w:t>
      </w:r>
      <w:proofErr w:type="spellStart"/>
      <w:r>
        <w:rPr>
          <w:lang w:val="fi-FI"/>
        </w:rPr>
        <w:t>Taigi</w:t>
      </w:r>
      <w:proofErr w:type="spellEnd"/>
      <w:r>
        <w:rPr>
          <w:lang w:val="fi-FI"/>
        </w:rPr>
        <w:t xml:space="preserve"> </w:t>
      </w:r>
      <w:r>
        <w:t>visuomenės informavimo priemonių atstovai</w:t>
      </w:r>
      <w:r>
        <w:rPr>
          <w:lang w:val="fi-FI"/>
        </w:rPr>
        <w:t xml:space="preserve"> </w:t>
      </w:r>
      <w:proofErr w:type="spellStart"/>
      <w:r>
        <w:rPr>
          <w:lang w:val="fi-FI"/>
        </w:rPr>
        <w:t>veikia</w:t>
      </w:r>
      <w:proofErr w:type="spellEnd"/>
      <w:r>
        <w:rPr>
          <w:lang w:val="fi-FI"/>
        </w:rPr>
        <w:t xml:space="preserve"> </w:t>
      </w:r>
      <w:proofErr w:type="spellStart"/>
      <w:r>
        <w:rPr>
          <w:lang w:val="fi-FI"/>
        </w:rPr>
        <w:t>kaip</w:t>
      </w:r>
      <w:proofErr w:type="spellEnd"/>
      <w:r>
        <w:rPr>
          <w:lang w:val="fi-FI"/>
        </w:rPr>
        <w:t xml:space="preserve"> </w:t>
      </w:r>
      <w:proofErr w:type="spellStart"/>
      <w:r>
        <w:rPr>
          <w:lang w:val="fi-FI"/>
        </w:rPr>
        <w:t>tarpininkai</w:t>
      </w:r>
      <w:proofErr w:type="spellEnd"/>
      <w:r w:rsidRPr="004A4B9E">
        <w:rPr>
          <w:lang w:val="fi-FI"/>
        </w:rPr>
        <w:t xml:space="preserve"> </w:t>
      </w:r>
      <w:proofErr w:type="spellStart"/>
      <w:r w:rsidRPr="004A4B9E">
        <w:rPr>
          <w:lang w:val="fi-FI"/>
        </w:rPr>
        <w:t>tarp</w:t>
      </w:r>
      <w:proofErr w:type="spellEnd"/>
      <w:r w:rsidRPr="004A4B9E">
        <w:rPr>
          <w:lang w:val="fi-FI"/>
        </w:rPr>
        <w:t xml:space="preserve"> </w:t>
      </w:r>
      <w:proofErr w:type="spellStart"/>
      <w:r w:rsidRPr="004A4B9E">
        <w:rPr>
          <w:lang w:val="fi-FI"/>
        </w:rPr>
        <w:t>teismų</w:t>
      </w:r>
      <w:proofErr w:type="spellEnd"/>
      <w:r w:rsidRPr="004A4B9E">
        <w:rPr>
          <w:lang w:val="fi-FI"/>
        </w:rPr>
        <w:t xml:space="preserve"> ir </w:t>
      </w:r>
      <w:proofErr w:type="spellStart"/>
      <w:r w:rsidRPr="004A4B9E">
        <w:rPr>
          <w:lang w:val="fi-FI"/>
        </w:rPr>
        <w:t>visuomenės</w:t>
      </w:r>
      <w:proofErr w:type="spellEnd"/>
      <w:r w:rsidRPr="004A4B9E">
        <w:rPr>
          <w:lang w:val="fi-FI"/>
        </w:rPr>
        <w:t xml:space="preserve">. </w:t>
      </w:r>
      <w:proofErr w:type="spellStart"/>
      <w:r w:rsidRPr="004A4B9E">
        <w:rPr>
          <w:lang w:val="fi-FI"/>
        </w:rPr>
        <w:t>Kuo</w:t>
      </w:r>
      <w:proofErr w:type="spellEnd"/>
      <w:r w:rsidRPr="004A4B9E">
        <w:rPr>
          <w:lang w:val="fi-FI"/>
        </w:rPr>
        <w:t xml:space="preserve"> </w:t>
      </w:r>
      <w:proofErr w:type="spellStart"/>
      <w:r w:rsidRPr="004A4B9E">
        <w:rPr>
          <w:lang w:val="fi-FI"/>
        </w:rPr>
        <w:t>teismų</w:t>
      </w:r>
      <w:proofErr w:type="spellEnd"/>
      <w:r w:rsidRPr="004A4B9E">
        <w:rPr>
          <w:lang w:val="fi-FI"/>
        </w:rPr>
        <w:t xml:space="preserve"> </w:t>
      </w:r>
      <w:proofErr w:type="spellStart"/>
      <w:r w:rsidRPr="004A4B9E">
        <w:rPr>
          <w:lang w:val="fi-FI"/>
        </w:rPr>
        <w:t>veikla</w:t>
      </w:r>
      <w:proofErr w:type="spellEnd"/>
      <w:r w:rsidRPr="004A4B9E">
        <w:rPr>
          <w:lang w:val="fi-FI"/>
        </w:rPr>
        <w:t xml:space="preserve"> </w:t>
      </w:r>
      <w:proofErr w:type="spellStart"/>
      <w:r w:rsidRPr="004A4B9E">
        <w:rPr>
          <w:lang w:val="fi-FI"/>
        </w:rPr>
        <w:t>skaidresnė</w:t>
      </w:r>
      <w:proofErr w:type="spellEnd"/>
      <w:r w:rsidRPr="004A4B9E">
        <w:rPr>
          <w:lang w:val="fi-FI"/>
        </w:rPr>
        <w:t xml:space="preserve">, </w:t>
      </w:r>
      <w:proofErr w:type="spellStart"/>
      <w:r w:rsidRPr="004A4B9E">
        <w:rPr>
          <w:lang w:val="fi-FI"/>
        </w:rPr>
        <w:t>kuo</w:t>
      </w:r>
      <w:proofErr w:type="spellEnd"/>
      <w:r w:rsidRPr="004A4B9E">
        <w:rPr>
          <w:lang w:val="fi-FI"/>
        </w:rPr>
        <w:t xml:space="preserve"> </w:t>
      </w:r>
      <w:proofErr w:type="spellStart"/>
      <w:r w:rsidRPr="004A4B9E">
        <w:rPr>
          <w:lang w:val="fi-FI"/>
        </w:rPr>
        <w:t>labiau</w:t>
      </w:r>
      <w:proofErr w:type="spellEnd"/>
      <w:r w:rsidRPr="004A4B9E">
        <w:rPr>
          <w:lang w:val="fi-FI"/>
        </w:rPr>
        <w:t xml:space="preserve"> </w:t>
      </w:r>
      <w:proofErr w:type="spellStart"/>
      <w:r w:rsidRPr="004A4B9E">
        <w:rPr>
          <w:lang w:val="fi-FI"/>
        </w:rPr>
        <w:t>ji</w:t>
      </w:r>
      <w:proofErr w:type="spellEnd"/>
      <w:r w:rsidRPr="004A4B9E">
        <w:rPr>
          <w:lang w:val="fi-FI"/>
        </w:rPr>
        <w:t xml:space="preserve"> </w:t>
      </w:r>
      <w:proofErr w:type="spellStart"/>
      <w:r w:rsidRPr="004A4B9E">
        <w:rPr>
          <w:lang w:val="fi-FI"/>
        </w:rPr>
        <w:t>matoma</w:t>
      </w:r>
      <w:proofErr w:type="spellEnd"/>
      <w:r w:rsidRPr="004A4B9E">
        <w:rPr>
          <w:lang w:val="fi-FI"/>
        </w:rPr>
        <w:t xml:space="preserve"> </w:t>
      </w:r>
      <w:proofErr w:type="spellStart"/>
      <w:r w:rsidRPr="004A4B9E">
        <w:rPr>
          <w:lang w:val="fi-FI"/>
        </w:rPr>
        <w:t>bei</w:t>
      </w:r>
      <w:proofErr w:type="spellEnd"/>
      <w:r w:rsidRPr="004A4B9E">
        <w:rPr>
          <w:lang w:val="fi-FI"/>
        </w:rPr>
        <w:t xml:space="preserve"> </w:t>
      </w:r>
      <w:proofErr w:type="spellStart"/>
      <w:r w:rsidRPr="004A4B9E">
        <w:rPr>
          <w:lang w:val="fi-FI"/>
        </w:rPr>
        <w:t>suprantama</w:t>
      </w:r>
      <w:proofErr w:type="spellEnd"/>
      <w:r w:rsidRPr="004A4B9E">
        <w:rPr>
          <w:lang w:val="fi-FI"/>
        </w:rPr>
        <w:t xml:space="preserve"> </w:t>
      </w:r>
      <w:proofErr w:type="spellStart"/>
      <w:r w:rsidRPr="004A4B9E">
        <w:rPr>
          <w:lang w:val="fi-FI"/>
        </w:rPr>
        <w:t>visuomenei</w:t>
      </w:r>
      <w:proofErr w:type="spellEnd"/>
      <w:r w:rsidRPr="004A4B9E">
        <w:rPr>
          <w:lang w:val="fi-FI"/>
        </w:rPr>
        <w:t xml:space="preserve">, tuo </w:t>
      </w:r>
      <w:proofErr w:type="spellStart"/>
      <w:r w:rsidRPr="004A4B9E">
        <w:rPr>
          <w:lang w:val="fi-FI"/>
        </w:rPr>
        <w:t>daugiau</w:t>
      </w:r>
      <w:proofErr w:type="spellEnd"/>
      <w:r w:rsidRPr="004A4B9E">
        <w:rPr>
          <w:lang w:val="fi-FI"/>
        </w:rPr>
        <w:t xml:space="preserve"> </w:t>
      </w:r>
      <w:proofErr w:type="spellStart"/>
      <w:r w:rsidRPr="004A4B9E">
        <w:rPr>
          <w:lang w:val="fi-FI"/>
        </w:rPr>
        <w:t>pasitikima</w:t>
      </w:r>
      <w:proofErr w:type="spellEnd"/>
      <w:r w:rsidRPr="004A4B9E">
        <w:rPr>
          <w:lang w:val="fi-FI"/>
        </w:rPr>
        <w:t xml:space="preserve"> </w:t>
      </w:r>
      <w:proofErr w:type="spellStart"/>
      <w:r w:rsidRPr="004A4B9E">
        <w:rPr>
          <w:lang w:val="fi-FI"/>
        </w:rPr>
        <w:t>teismais</w:t>
      </w:r>
      <w:proofErr w:type="spellEnd"/>
      <w:r w:rsidRPr="004A4B9E">
        <w:rPr>
          <w:lang w:val="fi-FI"/>
        </w:rPr>
        <w:t>.</w:t>
      </w:r>
    </w:p>
    <w:p w:rsidR="00A76F77" w:rsidRPr="00976725" w:rsidRDefault="00A76F77" w:rsidP="004A4B9E">
      <w:pPr>
        <w:spacing w:before="100" w:beforeAutospacing="1" w:after="100" w:afterAutospacing="1" w:line="240" w:lineRule="atLeast"/>
        <w:jc w:val="both"/>
      </w:pPr>
      <w:r>
        <w:t xml:space="preserve">Šiuo klausimu </w:t>
      </w:r>
      <w:r w:rsidRPr="0079789A">
        <w:t>Ispanijos atstovai pabrėžė būtinybę teismams bendrauti su</w:t>
      </w:r>
      <w:r>
        <w:t xml:space="preserve"> visuomenės informavimo priemonių atstovais</w:t>
      </w:r>
      <w:r w:rsidRPr="0079789A">
        <w:t>, aiškinti priimtus sprendimus ir jų poveikį</w:t>
      </w:r>
      <w:r>
        <w:t xml:space="preserve"> visuomenei</w:t>
      </w:r>
      <w:r w:rsidRPr="0079789A">
        <w:t>. Ispanijoje, kaip ir Ang</w:t>
      </w:r>
      <w:r>
        <w:t>lijoje, yra nacionaliniai teismų</w:t>
      </w:r>
      <w:r w:rsidRPr="0079789A">
        <w:t xml:space="preserve"> atstovai spaudai, tačiau </w:t>
      </w:r>
      <w:r>
        <w:t xml:space="preserve">šiose šalyse </w:t>
      </w:r>
      <w:r w:rsidRPr="0079789A">
        <w:t>vis dar ryškus atstovų spaudai trūkumas vietini</w:t>
      </w:r>
      <w:r>
        <w:t>u</w:t>
      </w:r>
      <w:r w:rsidRPr="0079789A">
        <w:t xml:space="preserve"> lygmen</w:t>
      </w:r>
      <w:r>
        <w:t>iu</w:t>
      </w:r>
      <w:r w:rsidRPr="0079789A">
        <w:t xml:space="preserve">. </w:t>
      </w:r>
      <w:r>
        <w:t xml:space="preserve">Tuo tarpu </w:t>
      </w:r>
      <w:r w:rsidRPr="0079789A">
        <w:t xml:space="preserve">Nyderlandų teismuose atstovai spaudai </w:t>
      </w:r>
      <w:r w:rsidRPr="0079789A">
        <w:lastRenderedPageBreak/>
        <w:t xml:space="preserve">specializuojasi tam tikrose srityse. </w:t>
      </w:r>
      <w:r>
        <w:t xml:space="preserve">Iš </w:t>
      </w:r>
      <w:r w:rsidRPr="0079789A">
        <w:t>šalyse susiformavusios praktikos</w:t>
      </w:r>
      <w:r>
        <w:t xml:space="preserve"> taip pat matyti, kad daugelyje valstybių </w:t>
      </w:r>
      <w:r w:rsidRPr="0079789A">
        <w:t xml:space="preserve">šalia teisėjų – atstovų spaudai – </w:t>
      </w:r>
      <w:r>
        <w:t xml:space="preserve">informaciją visuomenės informavimo priemonių atstovams </w:t>
      </w:r>
      <w:r w:rsidRPr="0079789A">
        <w:t>taip pat</w:t>
      </w:r>
      <w:r>
        <w:t xml:space="preserve"> teikia</w:t>
      </w:r>
      <w:r w:rsidRPr="0079789A">
        <w:t xml:space="preserve"> ir teismų</w:t>
      </w:r>
      <w:r>
        <w:t xml:space="preserve"> ryšių </w:t>
      </w:r>
      <w:r w:rsidRPr="0079789A">
        <w:t>su visuomene</w:t>
      </w:r>
      <w:r>
        <w:t xml:space="preserve"> specialistai. </w:t>
      </w:r>
    </w:p>
    <w:p w:rsidR="00A76F77" w:rsidRPr="009C0CA8" w:rsidRDefault="00A76F77" w:rsidP="004A4B9E">
      <w:pPr>
        <w:spacing w:before="100" w:beforeAutospacing="1" w:after="100" w:afterAutospacing="1" w:line="240" w:lineRule="atLeast"/>
        <w:jc w:val="both"/>
      </w:pPr>
      <w:r w:rsidRPr="009C0CA8">
        <w:t>Daugelis apklausoje dalyvavusių šalių teigė, jog kas savaitę sudaro labiausiai visuomenę dominančių bylų</w:t>
      </w:r>
      <w:r>
        <w:t>,</w:t>
      </w:r>
      <w:r w:rsidRPr="009C0CA8">
        <w:t xml:space="preserve"> nagrinėjamų teismuose</w:t>
      </w:r>
      <w:r>
        <w:t>,</w:t>
      </w:r>
      <w:r w:rsidRPr="009C0CA8">
        <w:t xml:space="preserve"> sąr</w:t>
      </w:r>
      <w:r>
        <w:t>ašą ir išplatina jį visuomenės informavimo priemonių</w:t>
      </w:r>
      <w:r w:rsidRPr="009C0CA8">
        <w:t xml:space="preserve"> atstovams. Kitos šalys tokių sąrašų neplatina, tačiau </w:t>
      </w:r>
      <w:r>
        <w:t>visuomenės informavimo priemonių</w:t>
      </w:r>
      <w:r w:rsidRPr="009C0CA8">
        <w:t xml:space="preserve"> atstovai gali su jais susipažinti teismuose. </w:t>
      </w:r>
    </w:p>
    <w:p w:rsidR="00A76F77" w:rsidRPr="00E95809" w:rsidRDefault="00A76F77" w:rsidP="004A4B9E">
      <w:pPr>
        <w:spacing w:before="100" w:beforeAutospacing="1" w:after="100" w:afterAutospacing="1" w:line="240" w:lineRule="atLeast"/>
        <w:jc w:val="both"/>
      </w:pPr>
      <w:r>
        <w:t>Danijoje</w:t>
      </w:r>
      <w:r w:rsidRPr="00BE2D5E">
        <w:t xml:space="preserve"> tokie nenuasmenintų bylų sąrašai skelbiami ekstranete. </w:t>
      </w:r>
      <w:r w:rsidRPr="00E95809">
        <w:t>Prieigą prie šios i</w:t>
      </w:r>
      <w:r>
        <w:t>nformacijos turi tik visuomenės informavimo priemonių atstovai, gavę specialų leidimą</w:t>
      </w:r>
      <w:r w:rsidRPr="00E95809">
        <w:t xml:space="preserve"> bei prisijungimo kodą. Prieš išduodant leidimus, su </w:t>
      </w:r>
      <w:r>
        <w:t>visuomenės informavimo priemonių</w:t>
      </w:r>
      <w:r w:rsidRPr="00E95809">
        <w:t xml:space="preserve"> organizacijomis pasirašomas konfi</w:t>
      </w:r>
      <w:r>
        <w:t>dencialumo susitarimas, siekiant išvengti</w:t>
      </w:r>
      <w:r w:rsidRPr="00E95809">
        <w:t xml:space="preserve"> piktnaudžiavimo nenuasmenintais bylos duomenimis. Kiekviena </w:t>
      </w:r>
      <w:r>
        <w:t>visuomenės informavimo priemonių</w:t>
      </w:r>
      <w:r w:rsidRPr="00E95809">
        <w:t xml:space="preserve"> organizacija gali pask</w:t>
      </w:r>
      <w:r>
        <w:t>i</w:t>
      </w:r>
      <w:r w:rsidRPr="00E95809">
        <w:t>rti keletą žurnalistų, kuriems suteikiamas leidimas ir prieiga prie konfidencialios informacijos. Leidimas turi būti atnaujinamas kas met</w:t>
      </w:r>
      <w:r>
        <w:t>ai</w:t>
      </w:r>
      <w:r w:rsidRPr="00E95809">
        <w:t xml:space="preserve"> (laisvai samdomiems žurnalista</w:t>
      </w:r>
      <w:r>
        <w:t>ms – kas ketveri mėnesiai</w:t>
      </w:r>
      <w:r w:rsidRPr="00E95809">
        <w:t>).</w:t>
      </w:r>
      <w:r>
        <w:t xml:space="preserve"> </w:t>
      </w:r>
      <w:r w:rsidRPr="00E95809">
        <w:t>Toki</w:t>
      </w:r>
      <w:r>
        <w:t>u</w:t>
      </w:r>
      <w:r w:rsidRPr="00E95809">
        <w:t xml:space="preserve">ose bylų sąrašuose taip pat yra įdiegtas paieškos įrankis </w:t>
      </w:r>
      <w:r>
        <w:t>ir</w:t>
      </w:r>
      <w:r w:rsidRPr="00E95809">
        <w:t xml:space="preserve"> </w:t>
      </w:r>
      <w:r>
        <w:t xml:space="preserve">pateikiamas </w:t>
      </w:r>
      <w:r w:rsidRPr="00E95809">
        <w:t>trumpas bylos apibendrinimas.</w:t>
      </w:r>
    </w:p>
    <w:p w:rsidR="00A76F77" w:rsidRPr="00E930EF" w:rsidRDefault="00A76F77" w:rsidP="004A4B9E">
      <w:pPr>
        <w:spacing w:before="100" w:beforeAutospacing="1" w:after="100" w:afterAutospacing="1" w:line="240" w:lineRule="atLeast"/>
        <w:jc w:val="both"/>
      </w:pPr>
      <w:r>
        <w:t xml:space="preserve">Pagal </w:t>
      </w:r>
      <w:r w:rsidRPr="00280BDC">
        <w:t>ETTT darbo grupė</w:t>
      </w:r>
      <w:r>
        <w:t>s</w:t>
      </w:r>
      <w:r w:rsidRPr="00280BDC">
        <w:t xml:space="preserve"> rekomenda</w:t>
      </w:r>
      <w:r>
        <w:t>ciją pageidautina</w:t>
      </w:r>
      <w:r w:rsidRPr="00280BDC">
        <w:t>,</w:t>
      </w:r>
      <w:r>
        <w:t xml:space="preserve"> jog</w:t>
      </w:r>
      <w:r w:rsidRPr="00280BDC">
        <w:t xml:space="preserve"> </w:t>
      </w:r>
      <w:r>
        <w:t xml:space="preserve">visuomenės informavimo priemonių </w:t>
      </w:r>
      <w:r w:rsidRPr="00280BDC">
        <w:t xml:space="preserve">atstovai turėtų prieigą prie teismuose nagrinėjamų bylų sąrašo, kad galėtų pasirinkti, kuriuos teismo posėdžius jie norės stebėti. Teismai, savo ruožtu, taip pat gali patys atrinkti įdomiausias bylas bei atkreipti į jas </w:t>
      </w:r>
      <w:r>
        <w:t>visuomenės informavimo priemonių</w:t>
      </w:r>
      <w:r w:rsidRPr="009C0CA8">
        <w:t xml:space="preserve"> </w:t>
      </w:r>
      <w:r>
        <w:t xml:space="preserve">atstovų </w:t>
      </w:r>
      <w:r w:rsidRPr="00E930EF">
        <w:t>dėmesį.</w:t>
      </w:r>
    </w:p>
    <w:p w:rsidR="00A76F77" w:rsidRDefault="00A76F77" w:rsidP="004A4B9E">
      <w:pPr>
        <w:spacing w:before="100" w:beforeAutospacing="1" w:after="100" w:afterAutospacing="1" w:line="240" w:lineRule="atLeast"/>
        <w:jc w:val="both"/>
      </w:pPr>
      <w:r>
        <w:t>V</w:t>
      </w:r>
      <w:r w:rsidRPr="0079789A">
        <w:t>is</w:t>
      </w:r>
      <w:r>
        <w:t>uose Europos šalių teismuose juntamas poreikis</w:t>
      </w:r>
      <w:r w:rsidRPr="0079789A">
        <w:t xml:space="preserve"> aktyviau bendrauti su visuomene ir </w:t>
      </w:r>
      <w:r>
        <w:t>visuomenės informavimo priemonių</w:t>
      </w:r>
      <w:r w:rsidRPr="009C0CA8">
        <w:t xml:space="preserve"> </w:t>
      </w:r>
      <w:r>
        <w:t xml:space="preserve">atstovais. </w:t>
      </w:r>
      <w:r w:rsidRPr="00AA12E5">
        <w:t>Siek</w:t>
      </w:r>
      <w:r>
        <w:t>dami</w:t>
      </w:r>
      <w:r w:rsidRPr="00AA12E5">
        <w:t xml:space="preserve"> aktyvesnio teismų ir </w:t>
      </w:r>
      <w:r>
        <w:t>visuomenės informavimo priemonių atstovų</w:t>
      </w:r>
      <w:r w:rsidRPr="00AA12E5">
        <w:t xml:space="preserve"> bendradarbiavimo, </w:t>
      </w:r>
      <w:r>
        <w:t>nagrinėdami rezonansines bylas</w:t>
      </w:r>
      <w:r w:rsidRPr="00AA12E5">
        <w:t xml:space="preserve"> teismai taip pat organizuoja susitikimus su </w:t>
      </w:r>
      <w:r>
        <w:t>visuomenės informavimo priemonių</w:t>
      </w:r>
      <w:r w:rsidRPr="009C0CA8">
        <w:t xml:space="preserve"> </w:t>
      </w:r>
      <w:r w:rsidRPr="00AA12E5">
        <w:t>atstovais, kuriuose aptaria planuojam</w:t>
      </w:r>
      <w:r>
        <w:t>us veiksmus bei bylos eigą</w:t>
      </w:r>
      <w:r w:rsidRPr="00AA12E5">
        <w:t>.</w:t>
      </w:r>
      <w:r>
        <w:t xml:space="preserve"> </w:t>
      </w:r>
    </w:p>
    <w:p w:rsidR="00A76F77" w:rsidRDefault="00A76F77" w:rsidP="00A87B1B">
      <w:pPr>
        <w:spacing w:before="120" w:after="120" w:line="240" w:lineRule="atLeast"/>
        <w:jc w:val="both"/>
      </w:pPr>
      <w:r>
        <w:t>Dažniausiai organizuojami:</w:t>
      </w:r>
    </w:p>
    <w:p w:rsidR="00A76F77" w:rsidRPr="003751BA" w:rsidRDefault="00A76F77" w:rsidP="002D1048">
      <w:pPr>
        <w:pStyle w:val="ListParagraph"/>
        <w:numPr>
          <w:ilvl w:val="0"/>
          <w:numId w:val="11"/>
        </w:numPr>
        <w:spacing w:before="120" w:after="120" w:line="240" w:lineRule="atLeast"/>
        <w:ind w:left="714" w:hanging="357"/>
        <w:contextualSpacing w:val="0"/>
        <w:jc w:val="both"/>
        <w:rPr>
          <w:rFonts w:ascii="Times New Roman" w:hAnsi="Times New Roman"/>
          <w:sz w:val="24"/>
          <w:szCs w:val="24"/>
          <w:lang w:val="lt-LT"/>
        </w:rPr>
      </w:pPr>
      <w:r w:rsidRPr="000F3AD7">
        <w:rPr>
          <w:rFonts w:ascii="Times New Roman" w:hAnsi="Times New Roman"/>
          <w:sz w:val="24"/>
          <w:szCs w:val="24"/>
          <w:lang w:val="lt-LT"/>
        </w:rPr>
        <w:t>Spaudos forumai</w:t>
      </w:r>
      <w:r>
        <w:rPr>
          <w:rFonts w:ascii="Times New Roman" w:hAnsi="Times New Roman"/>
          <w:sz w:val="24"/>
          <w:szCs w:val="24"/>
          <w:lang w:val="lt-LT"/>
        </w:rPr>
        <w:t xml:space="preserve"> –</w:t>
      </w:r>
      <w:r w:rsidRPr="003751BA">
        <w:rPr>
          <w:rFonts w:ascii="Times New Roman" w:hAnsi="Times New Roman"/>
          <w:sz w:val="24"/>
          <w:szCs w:val="24"/>
          <w:lang w:val="lt-LT"/>
        </w:rPr>
        <w:t xml:space="preserve"> vieną ar du kartus per metus susitinka spaudos ir teismų atstovai </w:t>
      </w:r>
      <w:r>
        <w:rPr>
          <w:rFonts w:ascii="Times New Roman" w:hAnsi="Times New Roman"/>
          <w:sz w:val="24"/>
          <w:szCs w:val="24"/>
          <w:lang w:val="lt-LT"/>
        </w:rPr>
        <w:t>(</w:t>
      </w:r>
      <w:r w:rsidRPr="003751BA">
        <w:rPr>
          <w:rFonts w:ascii="Times New Roman" w:hAnsi="Times New Roman"/>
          <w:sz w:val="24"/>
          <w:szCs w:val="24"/>
          <w:lang w:val="lt-LT"/>
        </w:rPr>
        <w:t>tar</w:t>
      </w:r>
      <w:r>
        <w:rPr>
          <w:rFonts w:ascii="Times New Roman" w:hAnsi="Times New Roman"/>
          <w:sz w:val="24"/>
          <w:szCs w:val="24"/>
          <w:lang w:val="lt-LT"/>
        </w:rPr>
        <w:t>p</w:t>
      </w:r>
      <w:r w:rsidRPr="003751BA">
        <w:rPr>
          <w:rFonts w:ascii="Times New Roman" w:hAnsi="Times New Roman"/>
          <w:sz w:val="24"/>
          <w:szCs w:val="24"/>
          <w:lang w:val="lt-LT"/>
        </w:rPr>
        <w:t xml:space="preserve"> jų ir teisėjai</w:t>
      </w:r>
      <w:r>
        <w:rPr>
          <w:rFonts w:ascii="Times New Roman" w:hAnsi="Times New Roman"/>
          <w:sz w:val="24"/>
          <w:szCs w:val="24"/>
          <w:lang w:val="lt-LT"/>
        </w:rPr>
        <w:t>), aptariami kasdien</w:t>
      </w:r>
      <w:r w:rsidRPr="003751BA">
        <w:rPr>
          <w:rFonts w:ascii="Times New Roman" w:hAnsi="Times New Roman"/>
          <w:sz w:val="24"/>
          <w:szCs w:val="24"/>
          <w:lang w:val="lt-LT"/>
        </w:rPr>
        <w:t>iai darbai, problemos</w:t>
      </w:r>
      <w:r>
        <w:rPr>
          <w:rFonts w:ascii="Times New Roman" w:hAnsi="Times New Roman"/>
          <w:sz w:val="24"/>
          <w:szCs w:val="24"/>
          <w:lang w:val="lt-LT"/>
        </w:rPr>
        <w:t>,</w:t>
      </w:r>
      <w:r w:rsidRPr="003751BA">
        <w:rPr>
          <w:rFonts w:ascii="Times New Roman" w:hAnsi="Times New Roman"/>
          <w:sz w:val="24"/>
          <w:szCs w:val="24"/>
          <w:lang w:val="lt-LT"/>
        </w:rPr>
        <w:t xml:space="preserve"> ateities</w:t>
      </w:r>
      <w:r>
        <w:rPr>
          <w:rFonts w:ascii="Times New Roman" w:hAnsi="Times New Roman"/>
          <w:sz w:val="24"/>
          <w:szCs w:val="24"/>
          <w:lang w:val="lt-LT"/>
        </w:rPr>
        <w:t xml:space="preserve"> bendradarbiavimo</w:t>
      </w:r>
      <w:r w:rsidRPr="003751BA">
        <w:rPr>
          <w:rFonts w:ascii="Times New Roman" w:hAnsi="Times New Roman"/>
          <w:sz w:val="24"/>
          <w:szCs w:val="24"/>
          <w:lang w:val="lt-LT"/>
        </w:rPr>
        <w:t xml:space="preserve"> galimybės.</w:t>
      </w:r>
    </w:p>
    <w:p w:rsidR="00A76F77" w:rsidRPr="003751BA" w:rsidRDefault="00A76F77" w:rsidP="002D1048">
      <w:pPr>
        <w:pStyle w:val="ListParagraph"/>
        <w:numPr>
          <w:ilvl w:val="0"/>
          <w:numId w:val="11"/>
        </w:numPr>
        <w:spacing w:before="120" w:after="0" w:line="240" w:lineRule="atLeast"/>
        <w:ind w:left="714" w:hanging="357"/>
        <w:contextualSpacing w:val="0"/>
        <w:jc w:val="both"/>
        <w:rPr>
          <w:rFonts w:ascii="Times New Roman" w:hAnsi="Times New Roman"/>
          <w:sz w:val="24"/>
          <w:szCs w:val="24"/>
          <w:lang w:val="lt-LT"/>
        </w:rPr>
      </w:pPr>
      <w:r w:rsidRPr="000F3AD7">
        <w:rPr>
          <w:rFonts w:ascii="Times New Roman" w:hAnsi="Times New Roman"/>
          <w:sz w:val="24"/>
          <w:szCs w:val="24"/>
          <w:lang w:val="lt-LT"/>
        </w:rPr>
        <w:t>Seminarai</w:t>
      </w:r>
      <w:r>
        <w:rPr>
          <w:rFonts w:ascii="Times New Roman" w:hAnsi="Times New Roman"/>
          <w:sz w:val="24"/>
          <w:szCs w:val="24"/>
          <w:lang w:val="lt-LT"/>
        </w:rPr>
        <w:t xml:space="preserve"> – </w:t>
      </w:r>
      <w:r w:rsidRPr="003751BA">
        <w:rPr>
          <w:rFonts w:ascii="Times New Roman" w:hAnsi="Times New Roman"/>
          <w:sz w:val="24"/>
          <w:szCs w:val="24"/>
          <w:lang w:val="lt-LT"/>
        </w:rPr>
        <w:t>teisėjai vyksta į mokyklas, pristato t</w:t>
      </w:r>
      <w:r>
        <w:rPr>
          <w:rFonts w:ascii="Times New Roman" w:hAnsi="Times New Roman"/>
          <w:sz w:val="24"/>
          <w:szCs w:val="24"/>
          <w:lang w:val="lt-LT"/>
        </w:rPr>
        <w:t>eismus vaikams, pakviečia juos</w:t>
      </w:r>
      <w:r w:rsidRPr="003751BA">
        <w:rPr>
          <w:rFonts w:ascii="Times New Roman" w:hAnsi="Times New Roman"/>
          <w:sz w:val="24"/>
          <w:szCs w:val="24"/>
          <w:lang w:val="lt-LT"/>
        </w:rPr>
        <w:t xml:space="preserve"> apsilankyti teismuose ir pamatyti </w:t>
      </w:r>
      <w:r>
        <w:rPr>
          <w:rFonts w:ascii="Times New Roman" w:hAnsi="Times New Roman"/>
          <w:sz w:val="24"/>
          <w:szCs w:val="24"/>
          <w:lang w:val="lt-LT"/>
        </w:rPr>
        <w:t>teisėjų darbą. Tokiu būdu m</w:t>
      </w:r>
      <w:r w:rsidRPr="00E54018">
        <w:rPr>
          <w:rFonts w:ascii="Times New Roman" w:hAnsi="Times New Roman"/>
          <w:sz w:val="24"/>
          <w:szCs w:val="24"/>
          <w:lang w:val="lt-LT"/>
        </w:rPr>
        <w:t xml:space="preserve">okiniai </w:t>
      </w:r>
      <w:r>
        <w:rPr>
          <w:rFonts w:ascii="Times New Roman" w:hAnsi="Times New Roman"/>
          <w:sz w:val="24"/>
          <w:szCs w:val="24"/>
          <w:lang w:val="lt-LT"/>
        </w:rPr>
        <w:t xml:space="preserve">supažindinami su </w:t>
      </w:r>
      <w:proofErr w:type="spellStart"/>
      <w:r>
        <w:rPr>
          <w:rFonts w:ascii="Times New Roman" w:hAnsi="Times New Roman"/>
          <w:sz w:val="24"/>
          <w:szCs w:val="24"/>
          <w:lang w:val="lt-LT"/>
        </w:rPr>
        <w:t>mediacija</w:t>
      </w:r>
      <w:proofErr w:type="spellEnd"/>
      <w:r>
        <w:rPr>
          <w:rFonts w:ascii="Times New Roman" w:hAnsi="Times New Roman"/>
          <w:sz w:val="24"/>
          <w:szCs w:val="24"/>
          <w:lang w:val="lt-LT"/>
        </w:rPr>
        <w:t xml:space="preserve">, kuri gali padėti greitai ir efektyviai </w:t>
      </w:r>
      <w:r w:rsidRPr="00E54018">
        <w:rPr>
          <w:rFonts w:ascii="Times New Roman" w:hAnsi="Times New Roman"/>
          <w:sz w:val="24"/>
          <w:szCs w:val="24"/>
          <w:lang w:val="lt-LT"/>
        </w:rPr>
        <w:t xml:space="preserve">spręsti ginčus ir nesutarimus tarp moksleivių (Ispanijos pavyzdys). </w:t>
      </w:r>
      <w:r w:rsidRPr="001F563E">
        <w:rPr>
          <w:rFonts w:ascii="Times New Roman" w:hAnsi="Times New Roman"/>
          <w:sz w:val="24"/>
          <w:szCs w:val="24"/>
          <w:lang w:val="lt-LT"/>
        </w:rPr>
        <w:t xml:space="preserve">Žurnalistikos studentams </w:t>
      </w:r>
      <w:r w:rsidRPr="00E54018">
        <w:rPr>
          <w:rFonts w:ascii="Times New Roman" w:hAnsi="Times New Roman"/>
          <w:sz w:val="24"/>
          <w:szCs w:val="24"/>
          <w:lang w:val="lt-LT"/>
        </w:rPr>
        <w:t>t</w:t>
      </w:r>
      <w:r>
        <w:rPr>
          <w:rFonts w:ascii="Times New Roman" w:hAnsi="Times New Roman"/>
          <w:sz w:val="24"/>
          <w:szCs w:val="24"/>
          <w:lang w:val="lt-LT"/>
        </w:rPr>
        <w:t xml:space="preserve">aip pat </w:t>
      </w:r>
      <w:r w:rsidRPr="001F563E">
        <w:rPr>
          <w:rFonts w:ascii="Times New Roman" w:hAnsi="Times New Roman"/>
          <w:sz w:val="24"/>
          <w:szCs w:val="24"/>
          <w:lang w:val="lt-LT"/>
        </w:rPr>
        <w:t>rengiami</w:t>
      </w:r>
      <w:r>
        <w:rPr>
          <w:rFonts w:ascii="Times New Roman" w:hAnsi="Times New Roman"/>
          <w:sz w:val="24"/>
          <w:szCs w:val="24"/>
          <w:lang w:val="lt-LT"/>
        </w:rPr>
        <w:t xml:space="preserve"> seminarai, kurių metu jie įgyja žinių apie teisingumo vykdymą bei teisėjo darbo specifiką (Belgijos pavyzdys</w:t>
      </w:r>
      <w:r w:rsidRPr="001F563E">
        <w:rPr>
          <w:rFonts w:ascii="Times New Roman" w:hAnsi="Times New Roman"/>
          <w:sz w:val="24"/>
          <w:szCs w:val="24"/>
          <w:lang w:val="lt-LT"/>
        </w:rPr>
        <w:t>)</w:t>
      </w:r>
      <w:r>
        <w:rPr>
          <w:rFonts w:ascii="Times New Roman" w:hAnsi="Times New Roman"/>
          <w:sz w:val="24"/>
          <w:szCs w:val="24"/>
          <w:lang w:val="lt-LT"/>
        </w:rPr>
        <w:t>.</w:t>
      </w:r>
    </w:p>
    <w:p w:rsidR="00A76F77" w:rsidRDefault="00A76F77" w:rsidP="004A4B9E">
      <w:pPr>
        <w:spacing w:before="100" w:beforeAutospacing="1" w:after="100" w:afterAutospacing="1" w:line="240" w:lineRule="atLeast"/>
        <w:jc w:val="both"/>
      </w:pPr>
      <w:r w:rsidRPr="0079789A">
        <w:t xml:space="preserve">Kai kuriose apklausoje dalyvavusiose šalyse, pavyzdžiui Belgijoje, Nyderlanduose, Austrijoje, Vengrijoje, Bulgarijoje, Lietuvoje, Norvegijoje, Rumunijoje, Ispanijoje, Turkijoje, </w:t>
      </w:r>
      <w:r>
        <w:t>teismų santykius su visuomenės informavimo priemonėmis</w:t>
      </w:r>
      <w:r w:rsidRPr="0079789A">
        <w:t xml:space="preserve"> reglamentuoja komunikacijos gairės ar protokolai. Kitose šalyse, pavyzdžiui, Danijoje, šiuos santykius regl</w:t>
      </w:r>
      <w:r>
        <w:t xml:space="preserve">amentuoja specialus įstatymas. </w:t>
      </w:r>
    </w:p>
    <w:p w:rsidR="00A76F77" w:rsidRPr="0079789A" w:rsidRDefault="00A76F77" w:rsidP="004A4B9E">
      <w:pPr>
        <w:spacing w:before="100" w:beforeAutospacing="1" w:after="100" w:afterAutospacing="1" w:line="240" w:lineRule="atLeast"/>
        <w:jc w:val="both"/>
      </w:pPr>
      <w:r w:rsidRPr="0079789A">
        <w:t>Belgijos atstovo</w:t>
      </w:r>
      <w:r>
        <w:t xml:space="preserve"> teigimu</w:t>
      </w:r>
      <w:r w:rsidRPr="0079789A">
        <w:t xml:space="preserve">, šioje šalyje yra propaguojama </w:t>
      </w:r>
      <w:r>
        <w:t>visuomenės informavimo priemonių</w:t>
      </w:r>
      <w:r w:rsidRPr="009C0CA8">
        <w:t xml:space="preserve"> </w:t>
      </w:r>
      <w:r>
        <w:t xml:space="preserve">atstovų </w:t>
      </w:r>
      <w:r w:rsidRPr="0079789A">
        <w:t xml:space="preserve">akreditacija teismuose. Jei </w:t>
      </w:r>
      <w:r>
        <w:t xml:space="preserve">toks atstovas </w:t>
      </w:r>
      <w:r w:rsidRPr="0079789A">
        <w:t xml:space="preserve">nusižengia, jo akreditacija gali būti panaikinta ar sustabdytas jos galiojimas. Be to, Belgijoje teisėjai bylų viešai nekomentuoja, ši funkcija paliekama </w:t>
      </w:r>
      <w:r>
        <w:t xml:space="preserve">teismų atstovams spaudai. </w:t>
      </w:r>
      <w:r w:rsidRPr="0079789A">
        <w:t xml:space="preserve">Tačiau jokiu būdu negalima teigti, kad šalis, kurioje informacija apie </w:t>
      </w:r>
      <w:r w:rsidRPr="0079789A">
        <w:lastRenderedPageBreak/>
        <w:t xml:space="preserve">bylas pateikiama per atstovus spaudai ar per pačius </w:t>
      </w:r>
      <w:r>
        <w:t xml:space="preserve">procesinius </w:t>
      </w:r>
      <w:r w:rsidRPr="0079789A">
        <w:t>sprendimus priėmusius teisėjus, turėtų keisti savo praktiką sekdam</w:t>
      </w:r>
      <w:r>
        <w:t>a</w:t>
      </w:r>
      <w:r w:rsidRPr="0079789A">
        <w:t xml:space="preserve"> Belgijos valstybės pavyzdžiu. </w:t>
      </w:r>
    </w:p>
    <w:p w:rsidR="00A76F77" w:rsidRDefault="00A76F77" w:rsidP="00473FF9">
      <w:pPr>
        <w:spacing w:before="100" w:beforeAutospacing="1" w:after="100" w:afterAutospacing="1" w:line="240" w:lineRule="atLeast"/>
        <w:jc w:val="both"/>
      </w:pPr>
      <w:r w:rsidRPr="0079789A">
        <w:t>Vertėtų atkreipti dėmesį į tai, kad taisyklės visuomenės informavimo priemonių atstovams</w:t>
      </w:r>
      <w:r>
        <w:t>,</w:t>
      </w:r>
      <w:r w:rsidRPr="0079789A">
        <w:t xml:space="preserve"> </w:t>
      </w:r>
      <w:r>
        <w:t>bendraujantiems</w:t>
      </w:r>
      <w:r w:rsidRPr="0079789A">
        <w:t xml:space="preserve"> su teismais</w:t>
      </w:r>
      <w:r>
        <w:t>,</w:t>
      </w:r>
      <w:r w:rsidRPr="0079789A">
        <w:t xml:space="preserve"> turi būti labai praktiškos, </w:t>
      </w:r>
      <w:r>
        <w:t>apimtų</w:t>
      </w:r>
      <w:r w:rsidRPr="0079789A">
        <w:t xml:space="preserve"> vaizdo</w:t>
      </w:r>
      <w:r>
        <w:t xml:space="preserve"> ir </w:t>
      </w:r>
      <w:r w:rsidRPr="0079789A">
        <w:t>garso įrašų įrenginių naudojimą teismo salėse ir teismo posėdžių metu, konsultavimąsi su prokuratūros atstovais, advokatais. Į jas taip pat reikėtų įtraukti ir socialinės žiniasklaidos naud</w:t>
      </w:r>
      <w:r>
        <w:t>o</w:t>
      </w:r>
      <w:r w:rsidRPr="0079789A">
        <w:t>jimą (išmanieji telefonai, socialiniai tinklai ir kt.) bei sankcijas už taisyklių pažeidimus.</w:t>
      </w:r>
      <w:r>
        <w:rPr>
          <w:rStyle w:val="FootnoteReference"/>
        </w:rPr>
        <w:footnoteReference w:id="12"/>
      </w:r>
    </w:p>
    <w:p w:rsidR="00A76F77" w:rsidRPr="0079789A" w:rsidRDefault="00A76F77" w:rsidP="00D36EC4">
      <w:pPr>
        <w:spacing w:before="100" w:beforeAutospacing="1" w:after="100" w:afterAutospacing="1" w:line="240" w:lineRule="atLeast"/>
        <w:jc w:val="both"/>
      </w:pPr>
      <w:r w:rsidRPr="0079789A">
        <w:t xml:space="preserve">Išanalizavusi apklausoje dalyvavusių šalių problematiką, darbo grupė išskyrė būtinybę sukurti pavyzdines gaires teismų santykiams su </w:t>
      </w:r>
      <w:r>
        <w:t xml:space="preserve">visuomenės informavimo priemonių atstovais </w:t>
      </w:r>
      <w:r w:rsidRPr="0079789A">
        <w:t>reguliuoti. Tokių gairių turinys turėtų apimti:</w:t>
      </w:r>
    </w:p>
    <w:p w:rsidR="00A76F77" w:rsidRPr="006B4250" w:rsidRDefault="00A76F77" w:rsidP="002D1048">
      <w:pPr>
        <w:pStyle w:val="ListParagraph"/>
        <w:numPr>
          <w:ilvl w:val="0"/>
          <w:numId w:val="10"/>
        </w:numPr>
        <w:spacing w:before="120" w:after="100" w:afterAutospacing="1"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n</w:t>
      </w:r>
      <w:r w:rsidRPr="006B4250">
        <w:rPr>
          <w:rFonts w:ascii="Times New Roman" w:hAnsi="Times New Roman"/>
          <w:sz w:val="24"/>
          <w:szCs w:val="24"/>
          <w:lang w:val="lt-LT"/>
        </w:rPr>
        <w:t xml:space="preserve">uorodas į teisėjų </w:t>
      </w:r>
      <w:r>
        <w:rPr>
          <w:rFonts w:ascii="Times New Roman" w:hAnsi="Times New Roman"/>
          <w:sz w:val="24"/>
          <w:szCs w:val="24"/>
          <w:lang w:val="lt-LT"/>
        </w:rPr>
        <w:t>ir</w:t>
      </w:r>
      <w:r w:rsidRPr="006B4250">
        <w:rPr>
          <w:rFonts w:ascii="Times New Roman" w:hAnsi="Times New Roman"/>
          <w:sz w:val="24"/>
          <w:szCs w:val="24"/>
          <w:lang w:val="lt-LT"/>
        </w:rPr>
        <w:t xml:space="preserve"> žurnalistų etikos kodeksus bei tarptautines (</w:t>
      </w:r>
      <w:r>
        <w:rPr>
          <w:rFonts w:ascii="Times New Roman" w:hAnsi="Times New Roman"/>
          <w:sz w:val="24"/>
          <w:szCs w:val="24"/>
          <w:lang w:val="lt-LT"/>
        </w:rPr>
        <w:t xml:space="preserve">ypač </w:t>
      </w:r>
      <w:r w:rsidRPr="006B4250">
        <w:rPr>
          <w:rFonts w:ascii="Times New Roman" w:hAnsi="Times New Roman"/>
          <w:sz w:val="24"/>
          <w:szCs w:val="24"/>
          <w:lang w:val="lt-LT"/>
        </w:rPr>
        <w:t>Europos Sąjungos) rekomendacijas šioje srityje;</w:t>
      </w:r>
    </w:p>
    <w:p w:rsidR="00A76F77" w:rsidRPr="006B4250" w:rsidRDefault="00A76F77" w:rsidP="002D1048">
      <w:pPr>
        <w:pStyle w:val="ListParagraph"/>
        <w:numPr>
          <w:ilvl w:val="0"/>
          <w:numId w:val="10"/>
        </w:numPr>
        <w:spacing w:before="120" w:after="100" w:afterAutospacing="1"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t</w:t>
      </w:r>
      <w:r w:rsidRPr="0079789A">
        <w:rPr>
          <w:rFonts w:ascii="Times New Roman" w:hAnsi="Times New Roman"/>
          <w:sz w:val="24"/>
          <w:szCs w:val="24"/>
          <w:lang w:val="lt-LT"/>
        </w:rPr>
        <w:t xml:space="preserve">eisėjų funkcijų ir </w:t>
      </w:r>
      <w:r>
        <w:rPr>
          <w:rFonts w:ascii="Times New Roman" w:hAnsi="Times New Roman"/>
          <w:sz w:val="24"/>
          <w:szCs w:val="24"/>
          <w:lang w:val="lt-LT"/>
        </w:rPr>
        <w:t xml:space="preserve">statuso </w:t>
      </w:r>
      <w:r w:rsidRPr="0079789A">
        <w:rPr>
          <w:rFonts w:ascii="Times New Roman" w:hAnsi="Times New Roman"/>
          <w:sz w:val="24"/>
          <w:szCs w:val="24"/>
          <w:lang w:val="lt-LT"/>
        </w:rPr>
        <w:t>išaiškinimą, teismų sistemą bei procesi</w:t>
      </w:r>
      <w:r>
        <w:rPr>
          <w:rFonts w:ascii="Times New Roman" w:hAnsi="Times New Roman"/>
          <w:sz w:val="24"/>
          <w:szCs w:val="24"/>
          <w:lang w:val="lt-LT"/>
        </w:rPr>
        <w:t>nes bylos nagrinėjimo stadijas</w:t>
      </w:r>
      <w:r w:rsidRPr="0079789A">
        <w:rPr>
          <w:rFonts w:ascii="Times New Roman" w:hAnsi="Times New Roman"/>
          <w:sz w:val="24"/>
          <w:szCs w:val="24"/>
          <w:lang w:val="lt-LT"/>
        </w:rPr>
        <w:t xml:space="preserve">, taip pat </w:t>
      </w:r>
      <w:r>
        <w:rPr>
          <w:rFonts w:ascii="Times New Roman" w:hAnsi="Times New Roman"/>
          <w:sz w:val="24"/>
          <w:szCs w:val="24"/>
          <w:lang w:val="lt-LT"/>
        </w:rPr>
        <w:t xml:space="preserve">teismų atstovų spaudai bei ryšių su visuomene specialistų </w:t>
      </w:r>
      <w:r w:rsidRPr="0079789A">
        <w:rPr>
          <w:rFonts w:ascii="Times New Roman" w:hAnsi="Times New Roman"/>
          <w:sz w:val="24"/>
          <w:szCs w:val="24"/>
          <w:lang w:val="lt-LT"/>
        </w:rPr>
        <w:t>teismuose vaidmenį kiekviename bylos nagrinėjimo etape;</w:t>
      </w:r>
    </w:p>
    <w:p w:rsidR="00A76F77" w:rsidRPr="006B4250" w:rsidRDefault="00A76F77" w:rsidP="002D1048">
      <w:pPr>
        <w:pStyle w:val="ListParagraph"/>
        <w:numPr>
          <w:ilvl w:val="0"/>
          <w:numId w:val="10"/>
        </w:numPr>
        <w:spacing w:before="120" w:after="100" w:afterAutospacing="1"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teisinius apribojimus ir visuomenės informavimo priemonių</w:t>
      </w:r>
      <w:r w:rsidRPr="0079789A">
        <w:rPr>
          <w:rFonts w:ascii="Times New Roman" w:hAnsi="Times New Roman"/>
          <w:sz w:val="24"/>
          <w:szCs w:val="24"/>
          <w:lang w:val="lt-LT"/>
        </w:rPr>
        <w:t xml:space="preserve"> atstovų elgesio taisykles teisme bei teismo posėdžių salėje, taip pat galimybes skubiai ištaisyti/pa</w:t>
      </w:r>
      <w:r>
        <w:rPr>
          <w:rFonts w:ascii="Times New Roman" w:hAnsi="Times New Roman"/>
          <w:sz w:val="24"/>
          <w:szCs w:val="24"/>
          <w:lang w:val="lt-LT"/>
        </w:rPr>
        <w:t>neigti/prieštarauti dėl visuomenės informavimo priemonėse išplatintų</w:t>
      </w:r>
      <w:r w:rsidRPr="0079789A">
        <w:rPr>
          <w:rFonts w:ascii="Times New Roman" w:hAnsi="Times New Roman"/>
          <w:sz w:val="24"/>
          <w:szCs w:val="24"/>
          <w:lang w:val="lt-LT"/>
        </w:rPr>
        <w:t xml:space="preserve"> neteising</w:t>
      </w:r>
      <w:r>
        <w:rPr>
          <w:rFonts w:ascii="Times New Roman" w:hAnsi="Times New Roman"/>
          <w:sz w:val="24"/>
          <w:szCs w:val="24"/>
          <w:lang w:val="lt-LT"/>
        </w:rPr>
        <w:t>ų</w:t>
      </w:r>
      <w:r w:rsidRPr="0079789A">
        <w:rPr>
          <w:rFonts w:ascii="Times New Roman" w:hAnsi="Times New Roman"/>
          <w:sz w:val="24"/>
          <w:szCs w:val="24"/>
          <w:lang w:val="lt-LT"/>
        </w:rPr>
        <w:t>, klaidinanči</w:t>
      </w:r>
      <w:r>
        <w:rPr>
          <w:rFonts w:ascii="Times New Roman" w:hAnsi="Times New Roman"/>
          <w:sz w:val="24"/>
          <w:szCs w:val="24"/>
          <w:lang w:val="lt-LT"/>
        </w:rPr>
        <w:t>ų</w:t>
      </w:r>
      <w:r w:rsidRPr="0079789A">
        <w:rPr>
          <w:rFonts w:ascii="Times New Roman" w:hAnsi="Times New Roman"/>
          <w:sz w:val="24"/>
          <w:szCs w:val="24"/>
          <w:lang w:val="lt-LT"/>
        </w:rPr>
        <w:t xml:space="preserve"> žini</w:t>
      </w:r>
      <w:r>
        <w:rPr>
          <w:rFonts w:ascii="Times New Roman" w:hAnsi="Times New Roman"/>
          <w:sz w:val="24"/>
          <w:szCs w:val="24"/>
          <w:lang w:val="lt-LT"/>
        </w:rPr>
        <w:t>ų</w:t>
      </w:r>
      <w:r w:rsidRPr="0079789A">
        <w:rPr>
          <w:rFonts w:ascii="Times New Roman" w:hAnsi="Times New Roman"/>
          <w:sz w:val="24"/>
          <w:szCs w:val="24"/>
          <w:lang w:val="lt-LT"/>
        </w:rPr>
        <w:t xml:space="preserve"> ar pranešim</w:t>
      </w:r>
      <w:r>
        <w:rPr>
          <w:rFonts w:ascii="Times New Roman" w:hAnsi="Times New Roman"/>
          <w:sz w:val="24"/>
          <w:szCs w:val="24"/>
          <w:lang w:val="lt-LT"/>
        </w:rPr>
        <w:t>ų</w:t>
      </w:r>
      <w:r w:rsidRPr="0079789A">
        <w:rPr>
          <w:rFonts w:ascii="Times New Roman" w:hAnsi="Times New Roman"/>
          <w:sz w:val="24"/>
          <w:szCs w:val="24"/>
          <w:lang w:val="lt-LT"/>
        </w:rPr>
        <w:t>;</w:t>
      </w:r>
    </w:p>
    <w:p w:rsidR="00A76F77" w:rsidRPr="00A76F77" w:rsidRDefault="00177FC6" w:rsidP="002D1048">
      <w:pPr>
        <w:pStyle w:val="ListParagraph"/>
        <w:numPr>
          <w:ilvl w:val="0"/>
          <w:numId w:val="10"/>
        </w:numPr>
        <w:spacing w:before="120" w:after="100" w:afterAutospacing="1" w:line="240" w:lineRule="atLeast"/>
        <w:ind w:left="714" w:hanging="357"/>
        <w:contextualSpacing w:val="0"/>
        <w:jc w:val="both"/>
        <w:rPr>
          <w:rFonts w:ascii="Times New Roman" w:hAnsi="Times New Roman"/>
          <w:sz w:val="24"/>
          <w:szCs w:val="24"/>
          <w:lang w:val="lt-LT"/>
        </w:rPr>
      </w:pPr>
      <w:r w:rsidRPr="00177FC6">
        <w:rPr>
          <w:rFonts w:ascii="Times New Roman" w:hAnsi="Times New Roman"/>
          <w:sz w:val="24"/>
          <w:szCs w:val="24"/>
          <w:lang w:val="lt-LT"/>
        </w:rPr>
        <w:t>visuomenės informavimo priemonių apibrėžimą;</w:t>
      </w:r>
    </w:p>
    <w:p w:rsidR="00A76F77" w:rsidRPr="00A76F77" w:rsidRDefault="00A76F77" w:rsidP="002D1048">
      <w:pPr>
        <w:pStyle w:val="ListParagraph"/>
        <w:numPr>
          <w:ilvl w:val="0"/>
          <w:numId w:val="10"/>
        </w:numPr>
        <w:spacing w:before="120" w:after="100" w:afterAutospacing="1"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a</w:t>
      </w:r>
      <w:r w:rsidR="00177FC6" w:rsidRPr="00177FC6">
        <w:rPr>
          <w:rFonts w:ascii="Times New Roman" w:hAnsi="Times New Roman"/>
          <w:sz w:val="24"/>
          <w:szCs w:val="24"/>
          <w:lang w:val="lt-LT"/>
        </w:rPr>
        <w:t>pribojimus</w:t>
      </w:r>
      <w:r>
        <w:rPr>
          <w:rFonts w:ascii="Times New Roman" w:hAnsi="Times New Roman"/>
          <w:sz w:val="24"/>
          <w:szCs w:val="24"/>
          <w:lang w:val="lt-LT"/>
        </w:rPr>
        <w:t>,</w:t>
      </w:r>
      <w:r w:rsidR="00177FC6" w:rsidRPr="00177FC6">
        <w:rPr>
          <w:rFonts w:ascii="Times New Roman" w:hAnsi="Times New Roman"/>
          <w:sz w:val="24"/>
          <w:szCs w:val="24"/>
          <w:lang w:val="lt-LT"/>
        </w:rPr>
        <w:t xml:space="preserve"> taikomus informacijos skelbimui įvairiose bylos nagrinėjimo stadijose</w:t>
      </w:r>
      <w:r>
        <w:rPr>
          <w:rFonts w:ascii="Times New Roman" w:hAnsi="Times New Roman"/>
          <w:sz w:val="24"/>
          <w:szCs w:val="24"/>
          <w:lang w:val="lt-LT"/>
        </w:rPr>
        <w:t>,</w:t>
      </w:r>
      <w:r w:rsidR="00177FC6" w:rsidRPr="00177FC6">
        <w:rPr>
          <w:rFonts w:ascii="Times New Roman" w:hAnsi="Times New Roman"/>
          <w:sz w:val="24"/>
          <w:szCs w:val="24"/>
          <w:lang w:val="lt-LT"/>
        </w:rPr>
        <w:t xml:space="preserve"> bei nuorodas į tai, kaip turėtų vykti teismų komunikacija su visuomenės informavimo priemonių atstovais tokiais atvejais;</w:t>
      </w:r>
    </w:p>
    <w:p w:rsidR="00A76F77" w:rsidRPr="00A76F77" w:rsidRDefault="00A76F77" w:rsidP="002D1048">
      <w:pPr>
        <w:pStyle w:val="ListParagraph"/>
        <w:numPr>
          <w:ilvl w:val="0"/>
          <w:numId w:val="10"/>
        </w:numPr>
        <w:spacing w:before="120" w:after="100" w:afterAutospacing="1"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v</w:t>
      </w:r>
      <w:r w:rsidR="00177FC6" w:rsidRPr="00177FC6">
        <w:rPr>
          <w:rFonts w:ascii="Times New Roman" w:hAnsi="Times New Roman"/>
          <w:sz w:val="24"/>
          <w:szCs w:val="24"/>
          <w:lang w:val="lt-LT"/>
        </w:rPr>
        <w:t>isuomenės informavimo priemonių atstovų teises gauti informaciją (kokią ir kokiu būdu);</w:t>
      </w:r>
    </w:p>
    <w:p w:rsidR="00A76F77" w:rsidRPr="00A76F77" w:rsidRDefault="00A76F77" w:rsidP="002D1048">
      <w:pPr>
        <w:pStyle w:val="ListParagraph"/>
        <w:numPr>
          <w:ilvl w:val="0"/>
          <w:numId w:val="10"/>
        </w:numPr>
        <w:spacing w:before="120" w:after="100" w:afterAutospacing="1"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t</w:t>
      </w:r>
      <w:r w:rsidR="00177FC6" w:rsidRPr="00177FC6">
        <w:rPr>
          <w:rFonts w:ascii="Times New Roman" w:hAnsi="Times New Roman"/>
          <w:sz w:val="24"/>
          <w:szCs w:val="24"/>
          <w:lang w:val="lt-LT"/>
        </w:rPr>
        <w:t>aisykles</w:t>
      </w:r>
      <w:r>
        <w:rPr>
          <w:rFonts w:ascii="Times New Roman" w:hAnsi="Times New Roman"/>
          <w:sz w:val="24"/>
          <w:szCs w:val="24"/>
          <w:lang w:val="lt-LT"/>
        </w:rPr>
        <w:t>,</w:t>
      </w:r>
      <w:r w:rsidR="00177FC6" w:rsidRPr="00177FC6">
        <w:rPr>
          <w:rFonts w:ascii="Times New Roman" w:hAnsi="Times New Roman"/>
          <w:sz w:val="24"/>
          <w:szCs w:val="24"/>
          <w:lang w:val="lt-LT"/>
        </w:rPr>
        <w:t xml:space="preserve"> taikomas vaizdo ir garso įrašams bei mobiliųjų telefonų ir socialinių tinklų naudojimui teismuose ir teismo posėdžių salėse;</w:t>
      </w:r>
    </w:p>
    <w:p w:rsidR="00A76F77" w:rsidRPr="00A76F77" w:rsidRDefault="00A76F77" w:rsidP="002D1048">
      <w:pPr>
        <w:pStyle w:val="ListParagraph"/>
        <w:numPr>
          <w:ilvl w:val="0"/>
          <w:numId w:val="10"/>
        </w:numPr>
        <w:spacing w:before="120" w:after="100" w:afterAutospacing="1" w:line="240" w:lineRule="atLeast"/>
        <w:ind w:left="714" w:hanging="357"/>
        <w:contextualSpacing w:val="0"/>
        <w:jc w:val="both"/>
        <w:rPr>
          <w:rFonts w:ascii="Times New Roman" w:hAnsi="Times New Roman"/>
          <w:sz w:val="24"/>
          <w:szCs w:val="24"/>
          <w:lang w:val="lt-LT"/>
        </w:rPr>
      </w:pPr>
      <w:r>
        <w:rPr>
          <w:rFonts w:ascii="Times New Roman" w:hAnsi="Times New Roman"/>
          <w:sz w:val="24"/>
          <w:szCs w:val="24"/>
          <w:lang w:val="lt-LT"/>
        </w:rPr>
        <w:t>g</w:t>
      </w:r>
      <w:r w:rsidR="00177FC6" w:rsidRPr="00177FC6">
        <w:rPr>
          <w:rFonts w:ascii="Times New Roman" w:hAnsi="Times New Roman"/>
          <w:sz w:val="24"/>
          <w:szCs w:val="24"/>
          <w:lang w:val="lt-LT"/>
        </w:rPr>
        <w:t xml:space="preserve">airėse taip pat turėtų būti apibrėžtas informacijos teikimas visuomenės informavimo priemonių atstovams bei visuomenei, </w:t>
      </w:r>
      <w:r>
        <w:rPr>
          <w:rFonts w:ascii="Times New Roman" w:hAnsi="Times New Roman"/>
          <w:sz w:val="24"/>
          <w:szCs w:val="24"/>
          <w:lang w:val="lt-LT"/>
        </w:rPr>
        <w:t>tokia informacija</w:t>
      </w:r>
      <w:r w:rsidR="00177FC6" w:rsidRPr="00177FC6">
        <w:rPr>
          <w:rFonts w:ascii="Times New Roman" w:hAnsi="Times New Roman"/>
          <w:sz w:val="24"/>
          <w:szCs w:val="24"/>
          <w:lang w:val="lt-LT"/>
        </w:rPr>
        <w:t xml:space="preserve"> </w:t>
      </w:r>
      <w:r>
        <w:rPr>
          <w:rFonts w:ascii="Times New Roman" w:hAnsi="Times New Roman"/>
          <w:sz w:val="24"/>
          <w:szCs w:val="24"/>
          <w:lang w:val="lt-LT"/>
        </w:rPr>
        <w:t xml:space="preserve">turi būti </w:t>
      </w:r>
      <w:r w:rsidR="00177FC6" w:rsidRPr="00177FC6">
        <w:rPr>
          <w:rFonts w:ascii="Times New Roman" w:hAnsi="Times New Roman"/>
          <w:sz w:val="24"/>
          <w:szCs w:val="24"/>
          <w:lang w:val="lt-LT"/>
        </w:rPr>
        <w:t>atribo</w:t>
      </w:r>
      <w:r>
        <w:rPr>
          <w:rFonts w:ascii="Times New Roman" w:hAnsi="Times New Roman"/>
          <w:sz w:val="24"/>
          <w:szCs w:val="24"/>
          <w:lang w:val="lt-LT"/>
        </w:rPr>
        <w:t>ta</w:t>
      </w:r>
      <w:r w:rsidR="00177FC6" w:rsidRPr="00177FC6">
        <w:rPr>
          <w:rFonts w:ascii="Times New Roman" w:hAnsi="Times New Roman"/>
          <w:sz w:val="24"/>
          <w:szCs w:val="24"/>
          <w:lang w:val="lt-LT"/>
        </w:rPr>
        <w:t xml:space="preserve"> nuo informacijos</w:t>
      </w:r>
      <w:r>
        <w:rPr>
          <w:rFonts w:ascii="Times New Roman" w:hAnsi="Times New Roman"/>
          <w:sz w:val="24"/>
          <w:szCs w:val="24"/>
          <w:lang w:val="lt-LT"/>
        </w:rPr>
        <w:t>,</w:t>
      </w:r>
      <w:r w:rsidR="00177FC6" w:rsidRPr="00177FC6">
        <w:rPr>
          <w:rFonts w:ascii="Times New Roman" w:hAnsi="Times New Roman"/>
          <w:sz w:val="24"/>
          <w:szCs w:val="24"/>
          <w:lang w:val="lt-LT"/>
        </w:rPr>
        <w:t xml:space="preserve"> teikiamos pranešimams žiniose ir dokumentinėms programoms.</w:t>
      </w:r>
    </w:p>
    <w:p w:rsidR="00A76F77" w:rsidRPr="0079789A" w:rsidRDefault="00A76F77" w:rsidP="000A1448">
      <w:pPr>
        <w:spacing w:before="100" w:beforeAutospacing="1" w:after="100" w:afterAutospacing="1" w:line="240" w:lineRule="atLeast"/>
        <w:jc w:val="both"/>
      </w:pPr>
      <w:r w:rsidRPr="0079789A">
        <w:t>Kalbant apie vaizdo</w:t>
      </w:r>
      <w:r>
        <w:t xml:space="preserve"> ir </w:t>
      </w:r>
      <w:r w:rsidRPr="0079789A">
        <w:t>garso įrašus ir socialinę žiniasklaidą teismuose, pažymėtina, kad daugelyje šalių filmavimas privatiems tikslams ar tiesioginėms transliacijoms televizijoje, teismo salėse yra draudžiamas arba griežtai ri</w:t>
      </w:r>
      <w:r>
        <w:t>bojamas (pvz.,</w:t>
      </w:r>
      <w:r w:rsidRPr="0079789A">
        <w:t xml:space="preserve"> Austrijoje, Bulgarijoje, Anglijoje ir Velse, Airijoje, Turkijoje). Visgi kai kuriose šalyse galimos ir tiesioginės transliacijos. Dažnai, norint filmuoti, reikia teisėjo ir proceso dalyvių sutikimo. </w:t>
      </w:r>
      <w:r>
        <w:t xml:space="preserve">Tokiu atveju itin išryškėja </w:t>
      </w:r>
      <w:r w:rsidRPr="0079789A">
        <w:t>proceso dalyvių</w:t>
      </w:r>
      <w:r>
        <w:t xml:space="preserve"> duomenų apsaugos</w:t>
      </w:r>
      <w:r w:rsidRPr="00C41BF5">
        <w:t xml:space="preserve"> </w:t>
      </w:r>
      <w:r>
        <w:t>problema</w:t>
      </w:r>
      <w:r w:rsidRPr="0079789A">
        <w:t xml:space="preserve">, ypač liudytojų, kurių asmenybė turi būti saugojama paslaptyje. </w:t>
      </w:r>
      <w:r>
        <w:t>Siekiant d</w:t>
      </w:r>
      <w:r w:rsidRPr="0079789A">
        <w:t>uomenų apsaugos</w:t>
      </w:r>
      <w:r>
        <w:t>, gali būti</w:t>
      </w:r>
      <w:r w:rsidRPr="0079789A">
        <w:t xml:space="preserve"> </w:t>
      </w:r>
      <w:r>
        <w:t>nuspręsta</w:t>
      </w:r>
      <w:r w:rsidRPr="0079789A">
        <w:t xml:space="preserve"> liudytoj</w:t>
      </w:r>
      <w:r>
        <w:t>us</w:t>
      </w:r>
      <w:r w:rsidRPr="0079789A">
        <w:t xml:space="preserve"> apklaus</w:t>
      </w:r>
      <w:r>
        <w:t>ti</w:t>
      </w:r>
      <w:r w:rsidRPr="0079789A">
        <w:t xml:space="preserve"> vaizdo konferencijos būdu.</w:t>
      </w:r>
    </w:p>
    <w:p w:rsidR="00A76F77" w:rsidRDefault="00A76F77" w:rsidP="000A1448">
      <w:pPr>
        <w:spacing w:before="100" w:beforeAutospacing="1" w:after="100" w:afterAutospacing="1" w:line="240" w:lineRule="atLeast"/>
        <w:jc w:val="both"/>
      </w:pPr>
      <w:r w:rsidRPr="0079789A">
        <w:t xml:space="preserve">Anglijoje ir </w:t>
      </w:r>
      <w:r>
        <w:t>V</w:t>
      </w:r>
      <w:r w:rsidRPr="0079789A">
        <w:t>else Aukščiausiojo Teismo posėdžiai transliuojami tiesiogiai, kitais atvejais vaizdo</w:t>
      </w:r>
      <w:r>
        <w:t xml:space="preserve"> ir </w:t>
      </w:r>
      <w:r w:rsidRPr="0079789A">
        <w:t>garso įrašų fiksavimas teisme yra draudžiamas. Belgijoje, Danijoje, Portugalijoje, Lenkijoje, Vengrijoje ir Norvegijoje vaizdo</w:t>
      </w:r>
      <w:r>
        <w:t xml:space="preserve"> ir </w:t>
      </w:r>
      <w:r w:rsidRPr="0079789A">
        <w:t xml:space="preserve">garso įrašai draudžiami, tačiau teisėjas atskirose bylose gali </w:t>
      </w:r>
      <w:r w:rsidRPr="0079789A">
        <w:lastRenderedPageBreak/>
        <w:t>padaryti išimtis. Dažniausiai išimtys daromos t</w:t>
      </w:r>
      <w:r>
        <w:t>ada</w:t>
      </w:r>
      <w:r w:rsidRPr="0079789A">
        <w:t xml:space="preserve">, kai byla yra sulaukusi didelio visuomenės susidomėjimo. </w:t>
      </w:r>
    </w:p>
    <w:p w:rsidR="00A76F77" w:rsidRPr="0079789A" w:rsidRDefault="00A76F77" w:rsidP="000A1448">
      <w:pPr>
        <w:spacing w:before="100" w:beforeAutospacing="1" w:after="100" w:afterAutospacing="1" w:line="240" w:lineRule="atLeast"/>
        <w:jc w:val="both"/>
      </w:pPr>
      <w:r w:rsidRPr="0079789A">
        <w:t xml:space="preserve">Italijoje bylos iš Aukščiausiojo Teismo yra transliuojamos </w:t>
      </w:r>
      <w:r>
        <w:t>per radiją</w:t>
      </w:r>
      <w:r w:rsidRPr="0079789A">
        <w:t xml:space="preserve">. Tuo tarpu Ispanijoje jau </w:t>
      </w:r>
      <w:r>
        <w:t xml:space="preserve">nuo </w:t>
      </w:r>
      <w:r w:rsidRPr="0079789A">
        <w:t>2</w:t>
      </w:r>
      <w:r>
        <w:t>00</w:t>
      </w:r>
      <w:r w:rsidRPr="0079789A">
        <w:t xml:space="preserve">5 </w:t>
      </w:r>
      <w:r>
        <w:t xml:space="preserve">metų </w:t>
      </w:r>
      <w:r w:rsidRPr="0079789A">
        <w:t>televiz</w:t>
      </w:r>
      <w:r>
        <w:t>i</w:t>
      </w:r>
      <w:r w:rsidRPr="0079789A">
        <w:t>jai leidžiama transliuoti bylų nagrinėjimo procesą iš teismo posėdžių salių. Jei teisėjas nenori, kad teismo posėdis būtų filmuojamas, jis turi motyvuoti tokį savo sprendimą. Ispanijos teismuose vaizdo</w:t>
      </w:r>
      <w:r>
        <w:t xml:space="preserve"> ir </w:t>
      </w:r>
      <w:r w:rsidRPr="0079789A">
        <w:t>garso įrašai kontroliuojami pa</w:t>
      </w:r>
      <w:r>
        <w:t>ties</w:t>
      </w:r>
      <w:r w:rsidRPr="0079789A">
        <w:t xml:space="preserve"> teismo. Taip </w:t>
      </w:r>
      <w:r>
        <w:t>užtikrinama</w:t>
      </w:r>
      <w:r w:rsidRPr="0079789A">
        <w:t xml:space="preserve"> liudytojų apsauga, perduodamas vaizdas, kurį norėtų transliuoti patys teismai, o ne</w:t>
      </w:r>
      <w:r>
        <w:t xml:space="preserve"> visuomenės informavimo priemonių atstovai</w:t>
      </w:r>
      <w:r w:rsidRPr="0079789A">
        <w:t xml:space="preserve">. Išimtys daromos, kai proceso dalyviai yra nepilnamečiai asmenys, seksualinių nusikaltimų aukos </w:t>
      </w:r>
      <w:r>
        <w:t>b</w:t>
      </w:r>
      <w:r w:rsidRPr="0079789A">
        <w:t>ei saugomi liudytojai.</w:t>
      </w:r>
    </w:p>
    <w:p w:rsidR="00A76F77" w:rsidRPr="0079789A" w:rsidRDefault="00A76F77" w:rsidP="000A1448">
      <w:pPr>
        <w:spacing w:before="100" w:beforeAutospacing="1" w:after="100" w:afterAutospacing="1" w:line="240" w:lineRule="atLeast"/>
        <w:jc w:val="both"/>
      </w:pPr>
      <w:r w:rsidRPr="0079789A">
        <w:t>Jungtinėje Karalystėje Aukščiausiojo Teismo nagrinėjamų bylų posėdžiai taip pat transliuojami tiesiogiai. Visgi atkreiptinas dėmesys, kad Jungtinės Karalystės Aukščiausiasis Teismas nagrinėja tik bylas, kurios yra nacionalinės ir konstitucinės svarbos.</w:t>
      </w:r>
    </w:p>
    <w:p w:rsidR="00A76F77" w:rsidRPr="00D36EC4" w:rsidRDefault="00A76F77" w:rsidP="000A1448">
      <w:pPr>
        <w:spacing w:before="100" w:beforeAutospacing="1" w:after="100" w:afterAutospacing="1" w:line="240" w:lineRule="atLeast"/>
        <w:jc w:val="both"/>
      </w:pPr>
      <w:r>
        <w:t xml:space="preserve">ETTT darbo grupės duomenimis, mobiliųjų telefonų </w:t>
      </w:r>
      <w:r w:rsidRPr="0079789A">
        <w:t>naudojimas teismo posėdžių salėse nėra uždraustas Vengrijoje, Italijoje, Lietuvoje, Nyderlanduose. Tačiau atkreiptinas dėmesys, jog kaltinamojo, liudytojo ar prisiekusiųjų teisės gali būti pažeistos telefon</w:t>
      </w:r>
      <w:r>
        <w:t>ais</w:t>
      </w:r>
      <w:r w:rsidRPr="0079789A">
        <w:t xml:space="preserve"> </w:t>
      </w:r>
      <w:r>
        <w:t>skelbiant pranešimus internetinėje</w:t>
      </w:r>
      <w:r w:rsidRPr="0079789A">
        <w:t xml:space="preserve"> erdvėje tiesiogiai iš posėdžių salės. </w:t>
      </w:r>
      <w:r>
        <w:t>Todėl pripažįstama, jog, kai nėra specialaus reglamentavimo, teisėjas</w:t>
      </w:r>
      <w:r w:rsidRPr="0079789A">
        <w:t xml:space="preserve"> bylos n</w:t>
      </w:r>
      <w:r>
        <w:t>agrinėjimo teismo posėdyje metu</w:t>
      </w:r>
      <w:r w:rsidRPr="0079789A">
        <w:t xml:space="preserve"> gali pats ribot</w:t>
      </w:r>
      <w:r>
        <w:t>i mobiliųjų telefonų naudojimą.</w:t>
      </w:r>
    </w:p>
    <w:p w:rsidR="00A76F77" w:rsidRPr="0079789A" w:rsidRDefault="00A76F77" w:rsidP="00B85F25">
      <w:pPr>
        <w:spacing w:before="100" w:beforeAutospacing="1" w:after="100" w:afterAutospacing="1" w:line="240" w:lineRule="atLeast"/>
        <w:jc w:val="both"/>
      </w:pPr>
      <w:r w:rsidRPr="0079789A">
        <w:t>Svarstydamos socialinės žini</w:t>
      </w:r>
      <w:r>
        <w:t>a</w:t>
      </w:r>
      <w:r w:rsidRPr="0079789A">
        <w:t xml:space="preserve">sklaidos teismuose naudojimą šalys sutiko, kad daugeliui tai visiškai nauja sritis ir rekomendacijos </w:t>
      </w:r>
      <w:r>
        <w:t xml:space="preserve">dėl </w:t>
      </w:r>
      <w:r w:rsidRPr="0079789A">
        <w:t>teismų komunikacij</w:t>
      </w:r>
      <w:r>
        <w:t>os</w:t>
      </w:r>
      <w:r w:rsidRPr="0079789A">
        <w:t xml:space="preserve"> su visuomenės informavimo priemonių atstovais yra itin reik</w:t>
      </w:r>
      <w:r>
        <w:t>a</w:t>
      </w:r>
      <w:r w:rsidRPr="0079789A">
        <w:t>lingos. Socialinę žini</w:t>
      </w:r>
      <w:r>
        <w:t>a</w:t>
      </w:r>
      <w:r w:rsidRPr="0079789A">
        <w:t>sklaidą teismuose naudoja Danija, Norvegija, Ispanija, Lietuva, Norvegija, Turkija. Atkreiptinas dėmesys, kad yra šalių (</w:t>
      </w:r>
      <w:r>
        <w:t>pvz.,</w:t>
      </w:r>
      <w:r w:rsidRPr="0079789A">
        <w:t xml:space="preserve"> Nyderlandai, Norvegija, Lenkija), kuriose teisėjai rašo savo </w:t>
      </w:r>
      <w:proofErr w:type="spellStart"/>
      <w:r>
        <w:t>tinklaraščius</w:t>
      </w:r>
      <w:proofErr w:type="spellEnd"/>
      <w:r w:rsidRPr="0079789A">
        <w:t xml:space="preserve"> ir socialinę žini</w:t>
      </w:r>
      <w:r>
        <w:t>a</w:t>
      </w:r>
      <w:r w:rsidRPr="0079789A">
        <w:t>sklaidą naudoja savo, kaip asmeny</w:t>
      </w:r>
      <w:r>
        <w:t>b</w:t>
      </w:r>
      <w:r w:rsidRPr="0079789A">
        <w:t>ės, raiškai.</w:t>
      </w:r>
      <w:r>
        <w:rPr>
          <w:rStyle w:val="FootnoteReference"/>
        </w:rPr>
        <w:footnoteReference w:id="13"/>
      </w:r>
    </w:p>
    <w:p w:rsidR="00A76F77" w:rsidRPr="0079789A" w:rsidRDefault="00A76F77" w:rsidP="00B85F25">
      <w:pPr>
        <w:spacing w:before="100" w:beforeAutospacing="1" w:after="100" w:afterAutospacing="1" w:line="240" w:lineRule="atLeast"/>
        <w:jc w:val="both"/>
      </w:pPr>
      <w:r w:rsidRPr="0079789A">
        <w:t>Pastebėta, kad teismai dažnai vengia naudoti socialinę žini</w:t>
      </w:r>
      <w:r>
        <w:t>a</w:t>
      </w:r>
      <w:r w:rsidRPr="0079789A">
        <w:t>sklaidą, baimindamiesi sulaukti kritikos. Tačiau nereiktų pamiršti, kad nepasitenkinimą reiškiančiam asmeniui galima greitai ir tiesiogiai atsakyti, o tai sudaro puikias sąlygas nepasitenkinimui nuslūgti, situacijai paaiškinti ne tik nepasitenkinimą reiškiančiam asmeniui, bet ir kitiems</w:t>
      </w:r>
      <w:r>
        <w:t>,</w:t>
      </w:r>
      <w:r w:rsidRPr="0079789A">
        <w:t xml:space="preserve"> su panašia problema susijusių atsakymų neturintiems</w:t>
      </w:r>
      <w:r>
        <w:t>,</w:t>
      </w:r>
      <w:r w:rsidRPr="0079789A">
        <w:t xml:space="preserve"> žmonėms. Italijos atstovai taip pat pabrėžė, kad nėra skirtumų tarp nuomonės teikimo laikraščiui, internetu ar </w:t>
      </w:r>
      <w:r w:rsidR="00177FC6" w:rsidRPr="00177FC6">
        <w:rPr>
          <w:i/>
        </w:rPr>
        <w:t>Facebook</w:t>
      </w:r>
      <w:r w:rsidRPr="0079789A">
        <w:t>. Esminis veiksnys teikiant informaciją – ar teisėjas atskirais atvejais gali tai daryti.</w:t>
      </w:r>
    </w:p>
    <w:p w:rsidR="00A76F77" w:rsidRPr="001B4174" w:rsidRDefault="00A76F77" w:rsidP="004B3B12">
      <w:pPr>
        <w:spacing w:before="100" w:beforeAutospacing="1" w:after="100" w:afterAutospacing="1" w:line="240" w:lineRule="atLeast"/>
        <w:jc w:val="both"/>
        <w:rPr>
          <w:b/>
          <w:u w:val="single"/>
        </w:rPr>
      </w:pPr>
      <w:r w:rsidRPr="001B4174">
        <w:rPr>
          <w:b/>
          <w:u w:val="single"/>
        </w:rPr>
        <w:t>Rekomendacijos</w:t>
      </w:r>
    </w:p>
    <w:p w:rsidR="00A76F77" w:rsidRPr="007B4428" w:rsidRDefault="00A76F77" w:rsidP="004B3B12">
      <w:pPr>
        <w:spacing w:before="100" w:beforeAutospacing="1" w:after="100" w:afterAutospacing="1" w:line="240" w:lineRule="atLeast"/>
        <w:jc w:val="both"/>
      </w:pPr>
      <w:r>
        <w:t>ETTT d</w:t>
      </w:r>
      <w:r w:rsidRPr="007B4428">
        <w:t>arbo grupė, išnagrinėjusi apklausoje dalyvavusių valstybių praktiką bei pro</w:t>
      </w:r>
      <w:r>
        <w:t xml:space="preserve">blemas, su kuriomis susiduriama, </w:t>
      </w:r>
      <w:r w:rsidRPr="007B4428">
        <w:t>parengė tokias rekomendacijas:</w:t>
      </w:r>
    </w:p>
    <w:p w:rsidR="00A76F77" w:rsidRDefault="00A76F77" w:rsidP="008B65AB">
      <w:pPr>
        <w:pStyle w:val="ListParagraph"/>
        <w:numPr>
          <w:ilvl w:val="0"/>
          <w:numId w:val="12"/>
        </w:numPr>
        <w:spacing w:before="120" w:after="120" w:line="240" w:lineRule="atLeast"/>
        <w:ind w:left="1502" w:hanging="357"/>
        <w:contextualSpacing w:val="0"/>
        <w:jc w:val="both"/>
        <w:rPr>
          <w:rFonts w:ascii="Times New Roman" w:hAnsi="Times New Roman"/>
          <w:sz w:val="24"/>
          <w:szCs w:val="24"/>
          <w:lang w:val="lt-LT"/>
        </w:rPr>
      </w:pPr>
      <w:r w:rsidRPr="00D36EC4">
        <w:rPr>
          <w:rFonts w:ascii="Times New Roman" w:hAnsi="Times New Roman"/>
          <w:sz w:val="24"/>
          <w:szCs w:val="24"/>
          <w:lang w:val="lt-LT"/>
        </w:rPr>
        <w:t>Visose šalyse turėtų veikti tei</w:t>
      </w:r>
      <w:r>
        <w:rPr>
          <w:rFonts w:ascii="Times New Roman" w:hAnsi="Times New Roman"/>
          <w:sz w:val="24"/>
          <w:szCs w:val="24"/>
          <w:lang w:val="lt-LT"/>
        </w:rPr>
        <w:t>smų atstovų spaudai ir teismų ryšių su visuomene specialistų sistema, kuri užtikrintų tinkamą</w:t>
      </w:r>
      <w:r w:rsidRPr="00D36EC4">
        <w:rPr>
          <w:rFonts w:ascii="Times New Roman" w:hAnsi="Times New Roman"/>
          <w:sz w:val="24"/>
          <w:szCs w:val="24"/>
          <w:lang w:val="lt-LT"/>
        </w:rPr>
        <w:t xml:space="preserve"> informacijos perdavimą visuomenei.</w:t>
      </w:r>
    </w:p>
    <w:p w:rsidR="00A76F77" w:rsidRDefault="00A76F77" w:rsidP="008B65AB">
      <w:pPr>
        <w:pStyle w:val="ListParagraph"/>
        <w:numPr>
          <w:ilvl w:val="0"/>
          <w:numId w:val="12"/>
        </w:numPr>
        <w:spacing w:before="120" w:after="120" w:line="240" w:lineRule="atLeast"/>
        <w:ind w:left="1502" w:hanging="357"/>
        <w:contextualSpacing w:val="0"/>
        <w:jc w:val="both"/>
        <w:rPr>
          <w:rFonts w:ascii="Times New Roman" w:hAnsi="Times New Roman"/>
          <w:sz w:val="24"/>
          <w:szCs w:val="24"/>
          <w:lang w:val="lt-LT"/>
        </w:rPr>
      </w:pPr>
      <w:r w:rsidRPr="00D36EC4">
        <w:rPr>
          <w:rFonts w:ascii="Times New Roman" w:hAnsi="Times New Roman"/>
          <w:sz w:val="24"/>
          <w:szCs w:val="24"/>
          <w:lang w:val="lt-LT"/>
        </w:rPr>
        <w:t>Garso ir vaizdo įrašai te</w:t>
      </w:r>
      <w:r>
        <w:rPr>
          <w:rFonts w:ascii="Times New Roman" w:hAnsi="Times New Roman"/>
          <w:sz w:val="24"/>
          <w:szCs w:val="24"/>
          <w:lang w:val="lt-LT"/>
        </w:rPr>
        <w:t>i</w:t>
      </w:r>
      <w:r w:rsidRPr="00D36EC4">
        <w:rPr>
          <w:rFonts w:ascii="Times New Roman" w:hAnsi="Times New Roman"/>
          <w:sz w:val="24"/>
          <w:szCs w:val="24"/>
          <w:lang w:val="lt-LT"/>
        </w:rPr>
        <w:t>smo posėdžiuose gali būti leidžiami tik tiek, kiek tai nepažeidžia byloje dalyvaujančių asmenų teisių.</w:t>
      </w:r>
    </w:p>
    <w:p w:rsidR="00A76F77" w:rsidRDefault="00A76F77" w:rsidP="008B65AB">
      <w:pPr>
        <w:pStyle w:val="ListParagraph"/>
        <w:numPr>
          <w:ilvl w:val="0"/>
          <w:numId w:val="12"/>
        </w:numPr>
        <w:spacing w:before="120" w:after="120" w:line="240" w:lineRule="atLeast"/>
        <w:ind w:left="1502" w:hanging="357"/>
        <w:contextualSpacing w:val="0"/>
        <w:jc w:val="both"/>
        <w:rPr>
          <w:rFonts w:ascii="Times New Roman" w:hAnsi="Times New Roman"/>
          <w:sz w:val="24"/>
          <w:szCs w:val="24"/>
          <w:lang w:val="lt-LT"/>
        </w:rPr>
      </w:pPr>
      <w:r w:rsidRPr="00D36EC4">
        <w:rPr>
          <w:rFonts w:ascii="Times New Roman" w:hAnsi="Times New Roman"/>
          <w:sz w:val="24"/>
          <w:szCs w:val="24"/>
          <w:lang w:val="lt-LT"/>
        </w:rPr>
        <w:lastRenderedPageBreak/>
        <w:t>Rekomenduojama sukurti aiškias gaires dėl išmaniųjų telefonų bei kitų komunikacijos priemonių naudojimo, taip pat įtrauk</w:t>
      </w:r>
      <w:r>
        <w:rPr>
          <w:rFonts w:ascii="Times New Roman" w:hAnsi="Times New Roman"/>
          <w:sz w:val="24"/>
          <w:szCs w:val="24"/>
          <w:lang w:val="lt-LT"/>
        </w:rPr>
        <w:t>ti</w:t>
      </w:r>
      <w:r w:rsidRPr="00D36EC4">
        <w:rPr>
          <w:rFonts w:ascii="Times New Roman" w:hAnsi="Times New Roman"/>
          <w:sz w:val="24"/>
          <w:szCs w:val="24"/>
          <w:lang w:val="lt-LT"/>
        </w:rPr>
        <w:t xml:space="preserve"> ir galimas sankcijas už nustatytų taisyklių nesilaikymą. </w:t>
      </w:r>
    </w:p>
    <w:p w:rsidR="00A76F77" w:rsidRDefault="00A76F77" w:rsidP="008B65AB">
      <w:pPr>
        <w:pStyle w:val="ListParagraph"/>
        <w:numPr>
          <w:ilvl w:val="0"/>
          <w:numId w:val="12"/>
        </w:numPr>
        <w:spacing w:before="120" w:after="120" w:line="240" w:lineRule="atLeast"/>
        <w:ind w:left="1502" w:hanging="357"/>
        <w:contextualSpacing w:val="0"/>
        <w:jc w:val="both"/>
        <w:rPr>
          <w:rFonts w:ascii="Times New Roman" w:hAnsi="Times New Roman"/>
          <w:sz w:val="24"/>
          <w:szCs w:val="24"/>
          <w:lang w:val="lt-LT"/>
        </w:rPr>
      </w:pPr>
      <w:r w:rsidRPr="00D36EC4">
        <w:rPr>
          <w:rFonts w:ascii="Times New Roman" w:hAnsi="Times New Roman"/>
          <w:sz w:val="24"/>
          <w:szCs w:val="24"/>
          <w:lang w:val="lt-LT"/>
        </w:rPr>
        <w:t xml:space="preserve">Rekomenduojama sukurti </w:t>
      </w:r>
      <w:r>
        <w:rPr>
          <w:rFonts w:ascii="Times New Roman" w:hAnsi="Times New Roman"/>
          <w:sz w:val="24"/>
          <w:szCs w:val="24"/>
          <w:lang w:val="lt-LT"/>
        </w:rPr>
        <w:t xml:space="preserve">socialinės žiniasklaidos </w:t>
      </w:r>
      <w:r w:rsidRPr="00D36EC4">
        <w:rPr>
          <w:rFonts w:ascii="Times New Roman" w:hAnsi="Times New Roman"/>
          <w:sz w:val="24"/>
          <w:szCs w:val="24"/>
          <w:lang w:val="lt-LT"/>
        </w:rPr>
        <w:t>naudojim</w:t>
      </w:r>
      <w:r>
        <w:rPr>
          <w:rFonts w:ascii="Times New Roman" w:hAnsi="Times New Roman"/>
          <w:sz w:val="24"/>
          <w:szCs w:val="24"/>
          <w:lang w:val="lt-LT"/>
        </w:rPr>
        <w:t>o</w:t>
      </w:r>
      <w:r w:rsidRPr="00C81E79">
        <w:rPr>
          <w:rFonts w:ascii="Times New Roman" w:hAnsi="Times New Roman"/>
          <w:sz w:val="24"/>
          <w:szCs w:val="24"/>
          <w:lang w:val="lt-LT"/>
        </w:rPr>
        <w:t xml:space="preserve"> </w:t>
      </w:r>
      <w:r w:rsidRPr="00D36EC4">
        <w:rPr>
          <w:rFonts w:ascii="Times New Roman" w:hAnsi="Times New Roman"/>
          <w:sz w:val="24"/>
          <w:szCs w:val="24"/>
          <w:lang w:val="lt-LT"/>
        </w:rPr>
        <w:t>strategiją (atsižvelgiant į tiks</w:t>
      </w:r>
      <w:r>
        <w:rPr>
          <w:rFonts w:ascii="Times New Roman" w:hAnsi="Times New Roman"/>
          <w:sz w:val="24"/>
          <w:szCs w:val="24"/>
          <w:lang w:val="lt-LT"/>
        </w:rPr>
        <w:t>lines grupes)</w:t>
      </w:r>
      <w:r w:rsidRPr="00D36EC4">
        <w:rPr>
          <w:rFonts w:ascii="Times New Roman" w:hAnsi="Times New Roman"/>
          <w:sz w:val="24"/>
          <w:szCs w:val="24"/>
          <w:lang w:val="lt-LT"/>
        </w:rPr>
        <w:t>.</w:t>
      </w:r>
    </w:p>
    <w:p w:rsidR="00A76F77" w:rsidRPr="000B7B3C" w:rsidRDefault="00A76F77" w:rsidP="008B65AB">
      <w:pPr>
        <w:pStyle w:val="ListParagraph"/>
        <w:numPr>
          <w:ilvl w:val="0"/>
          <w:numId w:val="12"/>
        </w:numPr>
        <w:spacing w:before="120" w:after="120" w:line="240" w:lineRule="atLeast"/>
        <w:ind w:left="1502" w:hanging="357"/>
        <w:contextualSpacing w:val="0"/>
        <w:jc w:val="both"/>
        <w:rPr>
          <w:rFonts w:ascii="Times New Roman" w:hAnsi="Times New Roman"/>
          <w:sz w:val="24"/>
          <w:szCs w:val="24"/>
          <w:lang w:val="lt-LT"/>
        </w:rPr>
      </w:pPr>
      <w:r w:rsidRPr="000B7B3C">
        <w:rPr>
          <w:rFonts w:ascii="Times New Roman" w:hAnsi="Times New Roman"/>
          <w:sz w:val="24"/>
          <w:szCs w:val="24"/>
          <w:lang w:val="lt-LT"/>
        </w:rPr>
        <w:t xml:space="preserve">Teismams rekomenduojama turėti savo interneto svetaines </w:t>
      </w:r>
      <w:r>
        <w:rPr>
          <w:rFonts w:ascii="Times New Roman" w:hAnsi="Times New Roman"/>
          <w:sz w:val="24"/>
          <w:szCs w:val="24"/>
          <w:lang w:val="lt-LT"/>
        </w:rPr>
        <w:t xml:space="preserve">ir skelbti ten </w:t>
      </w:r>
      <w:r w:rsidRPr="000B7B3C">
        <w:rPr>
          <w:rFonts w:ascii="Times New Roman" w:hAnsi="Times New Roman"/>
          <w:sz w:val="24"/>
          <w:szCs w:val="24"/>
          <w:lang w:val="lt-LT"/>
        </w:rPr>
        <w:t>procesinių teismų sprendim</w:t>
      </w:r>
      <w:r>
        <w:rPr>
          <w:rFonts w:ascii="Times New Roman" w:hAnsi="Times New Roman"/>
          <w:sz w:val="24"/>
          <w:szCs w:val="24"/>
          <w:lang w:val="lt-LT"/>
        </w:rPr>
        <w:t>us</w:t>
      </w:r>
      <w:r w:rsidRPr="000B7B3C">
        <w:rPr>
          <w:rFonts w:ascii="Times New Roman" w:hAnsi="Times New Roman"/>
          <w:sz w:val="24"/>
          <w:szCs w:val="24"/>
          <w:lang w:val="lt-LT"/>
        </w:rPr>
        <w:t xml:space="preserve">, </w:t>
      </w:r>
      <w:r>
        <w:rPr>
          <w:rFonts w:ascii="Times New Roman" w:hAnsi="Times New Roman"/>
          <w:sz w:val="24"/>
          <w:szCs w:val="24"/>
          <w:lang w:val="lt-LT"/>
        </w:rPr>
        <w:t>svetainės,</w:t>
      </w:r>
      <w:r w:rsidRPr="000B7B3C">
        <w:rPr>
          <w:rFonts w:ascii="Times New Roman" w:hAnsi="Times New Roman"/>
          <w:sz w:val="24"/>
          <w:szCs w:val="24"/>
          <w:lang w:val="lt-LT"/>
        </w:rPr>
        <w:t xml:space="preserve"> siekiant užtikrinti teismų ir teisėjų nepriklausomumą, turi būti Teisėjų tarybos, Nacionalinės teismų administracijos žinioje (prižiūr</w:t>
      </w:r>
      <w:r>
        <w:rPr>
          <w:rFonts w:ascii="Times New Roman" w:hAnsi="Times New Roman"/>
          <w:sz w:val="24"/>
          <w:szCs w:val="24"/>
          <w:lang w:val="lt-LT"/>
        </w:rPr>
        <w:t>imos</w:t>
      </w:r>
      <w:r w:rsidRPr="000B7B3C">
        <w:rPr>
          <w:rFonts w:ascii="Times New Roman" w:hAnsi="Times New Roman"/>
          <w:sz w:val="24"/>
          <w:szCs w:val="24"/>
          <w:lang w:val="lt-LT"/>
        </w:rPr>
        <w:t xml:space="preserve">). </w:t>
      </w:r>
    </w:p>
    <w:p w:rsidR="00A76F77" w:rsidRDefault="00A76F77" w:rsidP="008B65AB">
      <w:pPr>
        <w:pStyle w:val="ListParagraph"/>
        <w:numPr>
          <w:ilvl w:val="0"/>
          <w:numId w:val="12"/>
        </w:numPr>
        <w:spacing w:before="120" w:after="120" w:line="240" w:lineRule="atLeast"/>
        <w:ind w:left="1502" w:hanging="357"/>
        <w:contextualSpacing w:val="0"/>
        <w:jc w:val="both"/>
        <w:rPr>
          <w:rFonts w:ascii="Times New Roman" w:hAnsi="Times New Roman"/>
          <w:sz w:val="24"/>
          <w:szCs w:val="24"/>
          <w:lang w:val="lt-LT"/>
        </w:rPr>
      </w:pPr>
      <w:r w:rsidRPr="00E13B8D">
        <w:rPr>
          <w:rFonts w:ascii="Times New Roman" w:hAnsi="Times New Roman"/>
          <w:sz w:val="24"/>
          <w:szCs w:val="24"/>
          <w:lang w:val="lt-LT"/>
        </w:rPr>
        <w:t xml:space="preserve">Būtina reglamentuoti teismų </w:t>
      </w:r>
      <w:r>
        <w:rPr>
          <w:rFonts w:ascii="Times New Roman" w:hAnsi="Times New Roman"/>
          <w:sz w:val="24"/>
          <w:szCs w:val="24"/>
          <w:lang w:val="lt-LT"/>
        </w:rPr>
        <w:t>ir</w:t>
      </w:r>
      <w:r w:rsidRPr="00E13B8D">
        <w:rPr>
          <w:rFonts w:ascii="Times New Roman" w:hAnsi="Times New Roman"/>
          <w:sz w:val="24"/>
          <w:szCs w:val="24"/>
          <w:lang w:val="lt-LT"/>
        </w:rPr>
        <w:t xml:space="preserve"> </w:t>
      </w:r>
      <w:r>
        <w:rPr>
          <w:rFonts w:ascii="Times New Roman" w:hAnsi="Times New Roman"/>
          <w:sz w:val="24"/>
          <w:szCs w:val="24"/>
          <w:lang w:val="lt-LT"/>
        </w:rPr>
        <w:t xml:space="preserve">visuomenės informavimo priemonių </w:t>
      </w:r>
      <w:r w:rsidRPr="00E13B8D">
        <w:rPr>
          <w:rFonts w:ascii="Times New Roman" w:hAnsi="Times New Roman"/>
          <w:sz w:val="24"/>
          <w:szCs w:val="24"/>
          <w:lang w:val="lt-LT"/>
        </w:rPr>
        <w:t xml:space="preserve">atstovų santykius </w:t>
      </w:r>
      <w:r>
        <w:rPr>
          <w:rFonts w:ascii="Times New Roman" w:hAnsi="Times New Roman"/>
          <w:sz w:val="24"/>
          <w:szCs w:val="24"/>
          <w:lang w:val="lt-LT"/>
        </w:rPr>
        <w:t>specialiu įstatymu ar kitais tei</w:t>
      </w:r>
      <w:r w:rsidRPr="00E13B8D">
        <w:rPr>
          <w:rFonts w:ascii="Times New Roman" w:hAnsi="Times New Roman"/>
          <w:sz w:val="24"/>
          <w:szCs w:val="24"/>
          <w:lang w:val="lt-LT"/>
        </w:rPr>
        <w:t>sės akt</w:t>
      </w:r>
      <w:r>
        <w:rPr>
          <w:rFonts w:ascii="Times New Roman" w:hAnsi="Times New Roman"/>
          <w:sz w:val="24"/>
          <w:szCs w:val="24"/>
          <w:lang w:val="lt-LT"/>
        </w:rPr>
        <w:t>ais</w:t>
      </w:r>
      <w:r w:rsidRPr="00E13B8D">
        <w:rPr>
          <w:rFonts w:ascii="Times New Roman" w:hAnsi="Times New Roman"/>
          <w:sz w:val="24"/>
          <w:szCs w:val="24"/>
          <w:lang w:val="lt-LT"/>
        </w:rPr>
        <w:t>, pavyzdžiui, protokol</w:t>
      </w:r>
      <w:r>
        <w:rPr>
          <w:rFonts w:ascii="Times New Roman" w:hAnsi="Times New Roman"/>
          <w:sz w:val="24"/>
          <w:szCs w:val="24"/>
          <w:lang w:val="lt-LT"/>
        </w:rPr>
        <w:t>ais</w:t>
      </w:r>
      <w:r w:rsidRPr="00E13B8D">
        <w:rPr>
          <w:rFonts w:ascii="Times New Roman" w:hAnsi="Times New Roman"/>
          <w:sz w:val="24"/>
          <w:szCs w:val="24"/>
          <w:lang w:val="lt-LT"/>
        </w:rPr>
        <w:t>. Šiuose teisės aktuose turi būti aiškiai įvard</w:t>
      </w:r>
      <w:r>
        <w:rPr>
          <w:rFonts w:ascii="Times New Roman" w:hAnsi="Times New Roman"/>
          <w:sz w:val="24"/>
          <w:szCs w:val="24"/>
          <w:lang w:val="lt-LT"/>
        </w:rPr>
        <w:t>y</w:t>
      </w:r>
      <w:r w:rsidRPr="00E13B8D">
        <w:rPr>
          <w:rFonts w:ascii="Times New Roman" w:hAnsi="Times New Roman"/>
          <w:sz w:val="24"/>
          <w:szCs w:val="24"/>
          <w:lang w:val="lt-LT"/>
        </w:rPr>
        <w:t xml:space="preserve">ta, kokias teises turi </w:t>
      </w:r>
      <w:r>
        <w:rPr>
          <w:rFonts w:ascii="Times New Roman" w:hAnsi="Times New Roman"/>
          <w:sz w:val="24"/>
          <w:szCs w:val="24"/>
          <w:lang w:val="lt-LT"/>
        </w:rPr>
        <w:t xml:space="preserve">visuomenės informavimo priemonių </w:t>
      </w:r>
      <w:r w:rsidRPr="00E13B8D">
        <w:rPr>
          <w:rFonts w:ascii="Times New Roman" w:hAnsi="Times New Roman"/>
          <w:sz w:val="24"/>
          <w:szCs w:val="24"/>
          <w:lang w:val="lt-LT"/>
        </w:rPr>
        <w:t xml:space="preserve">atstovai, ko jie gali tikėtis iš teismų </w:t>
      </w:r>
      <w:r>
        <w:rPr>
          <w:rFonts w:ascii="Times New Roman" w:hAnsi="Times New Roman"/>
          <w:sz w:val="24"/>
          <w:szCs w:val="24"/>
          <w:lang w:val="lt-LT"/>
        </w:rPr>
        <w:t>ir</w:t>
      </w:r>
      <w:r w:rsidRPr="00E13B8D">
        <w:rPr>
          <w:rFonts w:ascii="Times New Roman" w:hAnsi="Times New Roman"/>
          <w:sz w:val="24"/>
          <w:szCs w:val="24"/>
          <w:lang w:val="lt-LT"/>
        </w:rPr>
        <w:t xml:space="preserve"> kaip ir kokią informaciją teismai turėtų pateikti </w:t>
      </w:r>
      <w:r>
        <w:rPr>
          <w:rFonts w:ascii="Times New Roman" w:hAnsi="Times New Roman"/>
          <w:sz w:val="24"/>
          <w:szCs w:val="24"/>
          <w:lang w:val="lt-LT"/>
        </w:rPr>
        <w:t xml:space="preserve">visuomenės informavimo priemonių atstovams </w:t>
      </w:r>
      <w:r w:rsidRPr="00E13B8D">
        <w:rPr>
          <w:rFonts w:ascii="Times New Roman" w:hAnsi="Times New Roman"/>
          <w:sz w:val="24"/>
          <w:szCs w:val="24"/>
          <w:lang w:val="lt-LT"/>
        </w:rPr>
        <w:t>įvairiose bylos nagrinėjimo stadijose.</w:t>
      </w:r>
      <w:bookmarkStart w:id="0" w:name="_GoBack"/>
      <w:bookmarkEnd w:id="0"/>
    </w:p>
    <w:p w:rsidR="00A76F77" w:rsidRDefault="00A76F77" w:rsidP="008B65AB">
      <w:pPr>
        <w:pStyle w:val="ListParagraph"/>
        <w:numPr>
          <w:ilvl w:val="0"/>
          <w:numId w:val="12"/>
        </w:numPr>
        <w:spacing w:before="120" w:after="120" w:line="240" w:lineRule="atLeast"/>
        <w:ind w:left="1502" w:hanging="357"/>
        <w:contextualSpacing w:val="0"/>
        <w:jc w:val="both"/>
        <w:rPr>
          <w:rFonts w:ascii="Times New Roman" w:hAnsi="Times New Roman"/>
          <w:sz w:val="24"/>
          <w:szCs w:val="24"/>
          <w:lang w:val="lt-LT"/>
        </w:rPr>
      </w:pPr>
      <w:r w:rsidRPr="00E13B8D">
        <w:rPr>
          <w:rFonts w:ascii="Times New Roman" w:hAnsi="Times New Roman"/>
          <w:sz w:val="24"/>
          <w:szCs w:val="24"/>
          <w:lang w:val="lt-LT"/>
        </w:rPr>
        <w:t>Teismai skati</w:t>
      </w:r>
      <w:r>
        <w:rPr>
          <w:rFonts w:ascii="Times New Roman" w:hAnsi="Times New Roman"/>
          <w:sz w:val="24"/>
          <w:szCs w:val="24"/>
          <w:lang w:val="lt-LT"/>
        </w:rPr>
        <w:t>nami aktyviai bendradarbiauti</w:t>
      </w:r>
      <w:r w:rsidRPr="00E13B8D">
        <w:rPr>
          <w:rFonts w:ascii="Times New Roman" w:hAnsi="Times New Roman"/>
          <w:sz w:val="24"/>
          <w:szCs w:val="24"/>
          <w:lang w:val="lt-LT"/>
        </w:rPr>
        <w:t xml:space="preserve"> su </w:t>
      </w:r>
      <w:r>
        <w:rPr>
          <w:rFonts w:ascii="Times New Roman" w:hAnsi="Times New Roman"/>
          <w:sz w:val="24"/>
          <w:szCs w:val="24"/>
          <w:lang w:val="lt-LT"/>
        </w:rPr>
        <w:t xml:space="preserve">visuomenės informavimo priemonių </w:t>
      </w:r>
      <w:r w:rsidRPr="00E13B8D">
        <w:rPr>
          <w:rFonts w:ascii="Times New Roman" w:hAnsi="Times New Roman"/>
          <w:sz w:val="24"/>
          <w:szCs w:val="24"/>
          <w:lang w:val="lt-LT"/>
        </w:rPr>
        <w:t>atst</w:t>
      </w:r>
      <w:r>
        <w:rPr>
          <w:rFonts w:ascii="Times New Roman" w:hAnsi="Times New Roman"/>
          <w:sz w:val="24"/>
          <w:szCs w:val="24"/>
          <w:lang w:val="lt-LT"/>
        </w:rPr>
        <w:t>o</w:t>
      </w:r>
      <w:r w:rsidRPr="00E13B8D">
        <w:rPr>
          <w:rFonts w:ascii="Times New Roman" w:hAnsi="Times New Roman"/>
          <w:sz w:val="24"/>
          <w:szCs w:val="24"/>
          <w:lang w:val="lt-LT"/>
        </w:rPr>
        <w:t>vais. Toks bendradarbiavimas turi būti sukoncentruotas ne tik į išskirtines bylas, bet ir į visą teismų sistemą apskritai.</w:t>
      </w:r>
    </w:p>
    <w:p w:rsidR="00A76F77" w:rsidRDefault="00A76F77" w:rsidP="001B4174">
      <w:pPr>
        <w:spacing w:before="100" w:beforeAutospacing="1" w:after="100" w:afterAutospacing="1" w:line="240" w:lineRule="atLeast"/>
        <w:jc w:val="both"/>
      </w:pPr>
    </w:p>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8136DD" w:rsidRDefault="008136DD" w:rsidP="009C4BBF"/>
    <w:p w:rsidR="00A76F77" w:rsidRDefault="00A76F77" w:rsidP="009C4BBF"/>
    <w:p w:rsidR="00A76F77" w:rsidRDefault="00A76F77" w:rsidP="009C4BBF"/>
    <w:p w:rsidR="00A76F77" w:rsidRDefault="00A76F77" w:rsidP="009C4BBF"/>
    <w:p w:rsidR="00A76F77" w:rsidRDefault="00A76F77" w:rsidP="009C4BBF"/>
    <w:p w:rsidR="00A76F77" w:rsidRDefault="00A76F77" w:rsidP="009C4BBF"/>
    <w:p w:rsidR="00A76F77" w:rsidRPr="009C4BBF" w:rsidRDefault="00A76F77" w:rsidP="009C4BBF">
      <w:pPr>
        <w:rPr>
          <w:color w:val="0000FF"/>
          <w:u w:val="single"/>
        </w:rPr>
      </w:pPr>
      <w:r w:rsidRPr="009C4BBF">
        <w:rPr>
          <w:b/>
        </w:rPr>
        <w:t>Parengė</w:t>
      </w:r>
      <w:r>
        <w:t xml:space="preserve"> Lina Laurinavičiūtė, tel. (8 5) 251 4126</w:t>
      </w:r>
      <w:r w:rsidRPr="00576730">
        <w:t xml:space="preserve">, el. p. </w:t>
      </w:r>
      <w:r>
        <w:t>lina.laurinaviciute@teismai.lt</w:t>
      </w:r>
    </w:p>
    <w:sectPr w:rsidR="00A76F77" w:rsidRPr="009C4BBF" w:rsidSect="00541B84">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DD" w:rsidRDefault="00E32ADD" w:rsidP="007B552F">
      <w:r>
        <w:separator/>
      </w:r>
    </w:p>
  </w:endnote>
  <w:endnote w:type="continuationSeparator" w:id="0">
    <w:p w:rsidR="00E32ADD" w:rsidRDefault="00E32ADD" w:rsidP="007B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F3" w:rsidRDefault="006D5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77" w:rsidRDefault="00E32ADD">
    <w:pPr>
      <w:pStyle w:val="Footer"/>
      <w:jc w:val="center"/>
    </w:pPr>
    <w:r>
      <w:fldChar w:fldCharType="begin"/>
    </w:r>
    <w:r>
      <w:instrText xml:space="preserve"> PAGE   \* MERGEFORMAT </w:instrText>
    </w:r>
    <w:r>
      <w:fldChar w:fldCharType="separate"/>
    </w:r>
    <w:r w:rsidR="007C2A3F">
      <w:rPr>
        <w:noProof/>
      </w:rPr>
      <w:t>1</w:t>
    </w:r>
    <w:r>
      <w:rPr>
        <w:noProof/>
      </w:rPr>
      <w:fldChar w:fldCharType="end"/>
    </w:r>
  </w:p>
  <w:p w:rsidR="00A76F77" w:rsidRDefault="00A76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F3" w:rsidRDefault="006D5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DD" w:rsidRDefault="00E32ADD" w:rsidP="007B552F">
      <w:r>
        <w:separator/>
      </w:r>
    </w:p>
  </w:footnote>
  <w:footnote w:type="continuationSeparator" w:id="0">
    <w:p w:rsidR="00E32ADD" w:rsidRDefault="00E32ADD" w:rsidP="007B552F">
      <w:r>
        <w:continuationSeparator/>
      </w:r>
    </w:p>
  </w:footnote>
  <w:footnote w:id="1">
    <w:p w:rsidR="00A76F77" w:rsidRDefault="00A76F77" w:rsidP="00810473">
      <w:pPr>
        <w:pStyle w:val="FootnoteText"/>
      </w:pPr>
      <w:r>
        <w:rPr>
          <w:rStyle w:val="FootnoteReference"/>
        </w:rPr>
        <w:footnoteRef/>
      </w:r>
      <w:r>
        <w:t xml:space="preserve"> </w:t>
      </w:r>
      <w:proofErr w:type="spellStart"/>
      <w:r>
        <w:t>European</w:t>
      </w:r>
      <w:proofErr w:type="spellEnd"/>
      <w:r>
        <w:t xml:space="preserve"> </w:t>
      </w:r>
      <w:proofErr w:type="spellStart"/>
      <w:r>
        <w:t>Network</w:t>
      </w:r>
      <w:proofErr w:type="spellEnd"/>
      <w:r>
        <w:t xml:space="preserve"> </w:t>
      </w:r>
      <w:proofErr w:type="spellStart"/>
      <w:r>
        <w:t>of</w:t>
      </w:r>
      <w:proofErr w:type="spellEnd"/>
      <w:r>
        <w:t xml:space="preserve"> </w:t>
      </w:r>
      <w:proofErr w:type="spellStart"/>
      <w:r>
        <w:t>Councils</w:t>
      </w:r>
      <w:proofErr w:type="spellEnd"/>
      <w:r>
        <w:t xml:space="preserve"> </w:t>
      </w:r>
      <w:proofErr w:type="spellStart"/>
      <w:r>
        <w:t>for</w:t>
      </w:r>
      <w:proofErr w:type="spellEnd"/>
      <w:r>
        <w:t xml:space="preserve"> </w:t>
      </w:r>
      <w:proofErr w:type="spellStart"/>
      <w:r>
        <w:t>the</w:t>
      </w:r>
      <w:proofErr w:type="spellEnd"/>
      <w:r>
        <w:t xml:space="preserve"> </w:t>
      </w:r>
      <w:proofErr w:type="spellStart"/>
      <w:r>
        <w:t>Judiciary</w:t>
      </w:r>
      <w:proofErr w:type="spellEnd"/>
      <w:r>
        <w:t xml:space="preserve">, </w:t>
      </w:r>
      <w:proofErr w:type="spellStart"/>
      <w:r w:rsidRPr="001A4188">
        <w:t>Justice</w:t>
      </w:r>
      <w:proofErr w:type="spellEnd"/>
      <w:r w:rsidRPr="001A4188">
        <w:t xml:space="preserve">, </w:t>
      </w:r>
      <w:proofErr w:type="spellStart"/>
      <w:r w:rsidRPr="001A4188">
        <w:t>Socie</w:t>
      </w:r>
      <w:r>
        <w:t>ty</w:t>
      </w:r>
      <w:proofErr w:type="spellEnd"/>
      <w:r>
        <w:t xml:space="preserve"> </w:t>
      </w:r>
      <w:proofErr w:type="spellStart"/>
      <w:r>
        <w:t>and</w:t>
      </w:r>
      <w:proofErr w:type="spellEnd"/>
      <w:r>
        <w:t xml:space="preserve"> </w:t>
      </w:r>
      <w:proofErr w:type="spellStart"/>
      <w:r>
        <w:t>Media</w:t>
      </w:r>
      <w:proofErr w:type="spellEnd"/>
      <w:r>
        <w:t xml:space="preserve">, </w:t>
      </w:r>
      <w:proofErr w:type="spellStart"/>
      <w:r>
        <w:t>Report</w:t>
      </w:r>
      <w:proofErr w:type="spellEnd"/>
      <w:r>
        <w:t xml:space="preserve"> 2011–2012: </w:t>
      </w:r>
      <w:r w:rsidRPr="00A3114D">
        <w:t>http://www.csm.it/ENCJ/pdf/Report%20on%20Justice%20Society&amp;Media.pdf</w:t>
      </w:r>
      <w:r>
        <w:t>.</w:t>
      </w:r>
    </w:p>
  </w:footnote>
  <w:footnote w:id="2">
    <w:p w:rsidR="00A76F77" w:rsidRDefault="00A76F77">
      <w:pPr>
        <w:pStyle w:val="FootnoteText"/>
      </w:pPr>
      <w:r>
        <w:rPr>
          <w:rStyle w:val="FootnoteReference"/>
        </w:rPr>
        <w:footnoteRef/>
      </w:r>
      <w:r>
        <w:t xml:space="preserve"> Informacijos teikimo visuomenės informavimo priemonėms taisyklės, patvirtintos Teisėjų tarybos 2012 m. vasario 3 d. nutarimu Nr. 13P-15-7.1.2), 4.1. p.</w:t>
      </w:r>
    </w:p>
  </w:footnote>
  <w:footnote w:id="3">
    <w:p w:rsidR="00A76F77" w:rsidRDefault="00A76F77">
      <w:pPr>
        <w:pStyle w:val="FootnoteText"/>
      </w:pPr>
      <w:r>
        <w:rPr>
          <w:rStyle w:val="FootnoteReference"/>
        </w:rPr>
        <w:footnoteRef/>
      </w:r>
      <w:r>
        <w:t xml:space="preserve"> </w:t>
      </w:r>
      <w:r w:rsidR="00333C6C">
        <w:t>Ten pat</w:t>
      </w:r>
      <w:r>
        <w:t>, 10 p.</w:t>
      </w:r>
    </w:p>
  </w:footnote>
  <w:footnote w:id="4">
    <w:p w:rsidR="00A76F77" w:rsidRDefault="00A76F77">
      <w:pPr>
        <w:pStyle w:val="FootnoteText"/>
      </w:pPr>
      <w:r>
        <w:rPr>
          <w:rStyle w:val="FootnoteReference"/>
        </w:rPr>
        <w:footnoteRef/>
      </w:r>
      <w:r>
        <w:t xml:space="preserve"> </w:t>
      </w:r>
      <w:r w:rsidR="00333C6C">
        <w:t>Ten pat</w:t>
      </w:r>
      <w:r>
        <w:t>, 13.6. p.</w:t>
      </w:r>
    </w:p>
  </w:footnote>
  <w:footnote w:id="5">
    <w:p w:rsidR="00A76F77" w:rsidRDefault="00A76F77">
      <w:pPr>
        <w:pStyle w:val="FootnoteText"/>
      </w:pPr>
      <w:r>
        <w:rPr>
          <w:rStyle w:val="FootnoteReference"/>
        </w:rPr>
        <w:footnoteRef/>
      </w:r>
      <w:r>
        <w:t xml:space="preserve"> </w:t>
      </w:r>
      <w:r w:rsidRPr="0043531E">
        <w:t xml:space="preserve">Angl. </w:t>
      </w:r>
      <w:r w:rsidRPr="0043531E">
        <w:rPr>
          <w:i/>
        </w:rPr>
        <w:t>jury</w:t>
      </w:r>
      <w:r w:rsidRPr="0043531E">
        <w:t>.</w:t>
      </w:r>
    </w:p>
  </w:footnote>
  <w:footnote w:id="6">
    <w:p w:rsidR="00A76F77" w:rsidRDefault="00A76F77">
      <w:pPr>
        <w:pStyle w:val="FootnoteText"/>
      </w:pPr>
      <w:r>
        <w:rPr>
          <w:rStyle w:val="FootnoteReference"/>
        </w:rPr>
        <w:footnoteRef/>
      </w:r>
      <w:r>
        <w:t xml:space="preserve"> Irmantas Kuzas, Komandiruotės ataskaita Nr. 3R-7-(1.4), 2012 m. sausio 3 d. </w:t>
      </w:r>
    </w:p>
  </w:footnote>
  <w:footnote w:id="7">
    <w:p w:rsidR="00A76F77" w:rsidRDefault="00A76F77">
      <w:pPr>
        <w:pStyle w:val="FootnoteText"/>
      </w:pPr>
      <w:r>
        <w:rPr>
          <w:rStyle w:val="FootnoteReference"/>
        </w:rPr>
        <w:footnoteRef/>
      </w:r>
      <w:r>
        <w:t xml:space="preserve"> </w:t>
      </w:r>
      <w:r w:rsidRPr="0073007B">
        <w:t xml:space="preserve">Daugiau informacijos apie konkursą: </w:t>
      </w:r>
      <w:hyperlink r:id="rId1" w:history="1">
        <w:r w:rsidRPr="0073007B">
          <w:rPr>
            <w:rStyle w:val="Hyperlink"/>
          </w:rPr>
          <w:t>http://www.rzeczpospolita.pl/pliki/prawo/pdf/ranking_e-sady_2011.pdf</w:t>
        </w:r>
      </w:hyperlink>
      <w:r>
        <w:t>.</w:t>
      </w:r>
    </w:p>
  </w:footnote>
  <w:footnote w:id="8">
    <w:p w:rsidR="00A76F77" w:rsidRDefault="00A76F77" w:rsidP="00CA0032">
      <w:pPr>
        <w:pStyle w:val="FootnoteText"/>
        <w:jc w:val="both"/>
      </w:pPr>
      <w:r>
        <w:rPr>
          <w:rStyle w:val="FootnoteReference"/>
        </w:rPr>
        <w:footnoteRef/>
      </w:r>
      <w:r>
        <w:t xml:space="preserve"> </w:t>
      </w:r>
      <w:r w:rsidR="00533370">
        <w:t xml:space="preserve">Irmantas Kuzas, Komandiruotės ataskaita Nr. 3R-7-(1.4), 2012 m. sausio 3 d. </w:t>
      </w:r>
    </w:p>
  </w:footnote>
  <w:footnote w:id="9">
    <w:p w:rsidR="00A76F77" w:rsidRDefault="00A76F77" w:rsidP="00CA0032">
      <w:pPr>
        <w:pStyle w:val="FootnoteText"/>
        <w:jc w:val="both"/>
      </w:pPr>
      <w:r>
        <w:rPr>
          <w:rStyle w:val="FootnoteReference"/>
        </w:rPr>
        <w:footnoteRef/>
      </w:r>
      <w:r>
        <w:t xml:space="preserve"> ICC, </w:t>
      </w:r>
      <w:r w:rsidRPr="0079789A">
        <w:rPr>
          <w:i/>
          <w:iCs/>
        </w:rPr>
        <w:t>The Prosecutor v. William Samoei Ruto and Joshua Arap Sang</w:t>
      </w:r>
      <w:r w:rsidRPr="007C4F96">
        <w:rPr>
          <w:iCs/>
        </w:rPr>
        <w:t>,</w:t>
      </w:r>
      <w:r w:rsidRPr="00CA0032">
        <w:t xml:space="preserve"> ICC-CPI-20130918-PR94</w:t>
      </w:r>
      <w:r>
        <w:t>.</w:t>
      </w:r>
    </w:p>
  </w:footnote>
  <w:footnote w:id="10">
    <w:p w:rsidR="00A76F77" w:rsidRDefault="00A76F77" w:rsidP="00261FD9">
      <w:pPr>
        <w:pStyle w:val="FootnoteText"/>
        <w:jc w:val="both"/>
      </w:pPr>
      <w:r>
        <w:rPr>
          <w:rStyle w:val="FootnoteReference"/>
        </w:rPr>
        <w:footnoteRef/>
      </w:r>
      <w:r>
        <w:t xml:space="preserve"> Tarptautinio baudžiamojo teismo statutas,</w:t>
      </w:r>
      <w:r w:rsidRPr="0079789A">
        <w:t xml:space="preserve"> 70 str.</w:t>
      </w:r>
      <w:r>
        <w:t>:</w:t>
      </w:r>
      <w:r w:rsidRPr="0079789A">
        <w:t xml:space="preserve"> </w:t>
      </w:r>
      <w:r>
        <w:t>t</w:t>
      </w:r>
      <w:r w:rsidRPr="0079789A">
        <w:t>eismo jurisdikcijai priklauso šie sąmoningai padaryti nusikaltimai teisingumui: liudytojo papirkimas, kliūčių sudarymas ar trukdymas jam atvykti į teismą arba duoti parodymus, keršijimas jam už parodymų davimą, įrodymų sunaikinimas, gad</w:t>
      </w:r>
      <w:r>
        <w:t>inimas ar trukdymas juos rinkti.</w:t>
      </w:r>
    </w:p>
  </w:footnote>
  <w:footnote w:id="11">
    <w:p w:rsidR="00A76F77" w:rsidRPr="0079789A" w:rsidRDefault="00A76F77" w:rsidP="00261FD9">
      <w:pPr>
        <w:spacing w:line="240" w:lineRule="atLeast"/>
      </w:pPr>
      <w:r>
        <w:rPr>
          <w:rStyle w:val="FootnoteReference"/>
        </w:rPr>
        <w:footnoteRef/>
      </w:r>
      <w:r>
        <w:rPr>
          <w:bCs/>
          <w:sz w:val="20"/>
          <w:szCs w:val="20"/>
        </w:rPr>
        <w:t xml:space="preserve"> </w:t>
      </w:r>
      <w:r w:rsidRPr="00906405">
        <w:rPr>
          <w:bCs/>
          <w:sz w:val="20"/>
          <w:szCs w:val="20"/>
        </w:rPr>
        <w:t xml:space="preserve">ICC Trial Chamber V(a) states that interfering with witnesses is an </w:t>
      </w:r>
      <w:proofErr w:type="spellStart"/>
      <w:r w:rsidRPr="00906405">
        <w:rPr>
          <w:bCs/>
          <w:sz w:val="20"/>
          <w:szCs w:val="20"/>
        </w:rPr>
        <w:t>offence</w:t>
      </w:r>
      <w:proofErr w:type="spellEnd"/>
      <w:r w:rsidRPr="00906405">
        <w:rPr>
          <w:bCs/>
          <w:sz w:val="20"/>
          <w:szCs w:val="20"/>
        </w:rPr>
        <w:t xml:space="preserve"> </w:t>
      </w:r>
      <w:proofErr w:type="spellStart"/>
      <w:r w:rsidRPr="00906405">
        <w:rPr>
          <w:bCs/>
          <w:sz w:val="20"/>
          <w:szCs w:val="20"/>
        </w:rPr>
        <w:t>against</w:t>
      </w:r>
      <w:proofErr w:type="spellEnd"/>
      <w:r w:rsidRPr="00906405">
        <w:rPr>
          <w:bCs/>
          <w:sz w:val="20"/>
          <w:szCs w:val="20"/>
        </w:rPr>
        <w:t xml:space="preserve"> </w:t>
      </w:r>
      <w:proofErr w:type="spellStart"/>
      <w:r w:rsidRPr="00906405">
        <w:rPr>
          <w:bCs/>
          <w:sz w:val="20"/>
          <w:szCs w:val="20"/>
        </w:rPr>
        <w:t>the</w:t>
      </w:r>
      <w:proofErr w:type="spellEnd"/>
      <w:r w:rsidRPr="00906405">
        <w:rPr>
          <w:bCs/>
          <w:sz w:val="20"/>
          <w:szCs w:val="20"/>
        </w:rPr>
        <w:t xml:space="preserve"> </w:t>
      </w:r>
      <w:proofErr w:type="spellStart"/>
      <w:r w:rsidRPr="00906405">
        <w:rPr>
          <w:bCs/>
          <w:sz w:val="20"/>
          <w:szCs w:val="20"/>
        </w:rPr>
        <w:t>administration</w:t>
      </w:r>
      <w:proofErr w:type="spellEnd"/>
      <w:r w:rsidRPr="00906405">
        <w:rPr>
          <w:bCs/>
          <w:sz w:val="20"/>
          <w:szCs w:val="20"/>
        </w:rPr>
        <w:t xml:space="preserve"> </w:t>
      </w:r>
      <w:proofErr w:type="spellStart"/>
      <w:r w:rsidRPr="00906405">
        <w:rPr>
          <w:bCs/>
          <w:sz w:val="20"/>
          <w:szCs w:val="20"/>
        </w:rPr>
        <w:t>of</w:t>
      </w:r>
      <w:proofErr w:type="spellEnd"/>
      <w:r w:rsidRPr="00906405">
        <w:rPr>
          <w:bCs/>
          <w:sz w:val="20"/>
          <w:szCs w:val="20"/>
        </w:rPr>
        <w:t xml:space="preserve"> </w:t>
      </w:r>
      <w:proofErr w:type="spellStart"/>
      <w:r w:rsidRPr="00906405">
        <w:rPr>
          <w:bCs/>
          <w:sz w:val="20"/>
          <w:szCs w:val="20"/>
        </w:rPr>
        <w:t>justice</w:t>
      </w:r>
      <w:proofErr w:type="spellEnd"/>
      <w:r w:rsidRPr="00906405">
        <w:rPr>
          <w:bCs/>
          <w:sz w:val="20"/>
          <w:szCs w:val="20"/>
        </w:rPr>
        <w:t xml:space="preserve"> </w:t>
      </w:r>
      <w:proofErr w:type="spellStart"/>
      <w:r w:rsidRPr="00906405">
        <w:rPr>
          <w:bCs/>
          <w:sz w:val="20"/>
          <w:szCs w:val="20"/>
        </w:rPr>
        <w:t>and</w:t>
      </w:r>
      <w:proofErr w:type="spellEnd"/>
      <w:r w:rsidRPr="00906405">
        <w:rPr>
          <w:bCs/>
          <w:sz w:val="20"/>
          <w:szCs w:val="20"/>
        </w:rPr>
        <w:t xml:space="preserve"> </w:t>
      </w:r>
      <w:proofErr w:type="spellStart"/>
      <w:r w:rsidRPr="00906405">
        <w:rPr>
          <w:bCs/>
          <w:sz w:val="20"/>
          <w:szCs w:val="20"/>
        </w:rPr>
        <w:t>may</w:t>
      </w:r>
      <w:proofErr w:type="spellEnd"/>
      <w:r w:rsidRPr="00906405">
        <w:rPr>
          <w:bCs/>
          <w:sz w:val="20"/>
          <w:szCs w:val="20"/>
        </w:rPr>
        <w:t xml:space="preserve"> be </w:t>
      </w:r>
      <w:proofErr w:type="spellStart"/>
      <w:r w:rsidRPr="00906405">
        <w:rPr>
          <w:bCs/>
          <w:sz w:val="20"/>
          <w:szCs w:val="20"/>
        </w:rPr>
        <w:t>prosecuted</w:t>
      </w:r>
      <w:proofErr w:type="spellEnd"/>
      <w:r w:rsidRPr="00906405">
        <w:rPr>
          <w:bCs/>
          <w:sz w:val="20"/>
          <w:szCs w:val="20"/>
        </w:rPr>
        <w:t xml:space="preserve"> (video </w:t>
      </w:r>
      <w:proofErr w:type="spellStart"/>
      <w:r w:rsidRPr="00906405">
        <w:rPr>
          <w:bCs/>
          <w:sz w:val="20"/>
          <w:szCs w:val="20"/>
        </w:rPr>
        <w:t>included</w:t>
      </w:r>
      <w:proofErr w:type="spellEnd"/>
      <w:r w:rsidRPr="00906405">
        <w:rPr>
          <w:bCs/>
          <w:sz w:val="20"/>
          <w:szCs w:val="20"/>
        </w:rPr>
        <w:t xml:space="preserve">): </w:t>
      </w:r>
      <w:hyperlink r:id="rId2" w:history="1">
        <w:r w:rsidRPr="00906405">
          <w:rPr>
            <w:rStyle w:val="Hyperlink"/>
            <w:sz w:val="20"/>
            <w:szCs w:val="20"/>
          </w:rPr>
          <w:t>http://www.icc-cpi.int/en_menus/icc/press%20and%20media/press%20releases/Pages/pr941.aspx</w:t>
        </w:r>
      </w:hyperlink>
      <w:r w:rsidRPr="00906405">
        <w:rPr>
          <w:sz w:val="20"/>
          <w:szCs w:val="20"/>
        </w:rPr>
        <w:t>.</w:t>
      </w:r>
    </w:p>
    <w:p w:rsidR="00A76F77" w:rsidRDefault="00A76F77" w:rsidP="00D061FF">
      <w:pPr>
        <w:spacing w:before="100" w:beforeAutospacing="1" w:after="100" w:afterAutospacing="1" w:line="240" w:lineRule="atLeast"/>
      </w:pPr>
    </w:p>
  </w:footnote>
  <w:footnote w:id="12">
    <w:p w:rsidR="00A76F77" w:rsidRDefault="00A76F77">
      <w:pPr>
        <w:pStyle w:val="FootnoteText"/>
      </w:pPr>
      <w:r>
        <w:rPr>
          <w:rStyle w:val="FootnoteReference"/>
        </w:rPr>
        <w:footnoteRef/>
      </w:r>
      <w:r>
        <w:t xml:space="preserve"> </w:t>
      </w:r>
      <w:r w:rsidR="00261FD9">
        <w:t xml:space="preserve">Irmantas Kuzas, Komandiruotės ataskaita Nr. 3R-7-(1.4), 2012 m. sausio 3 d. </w:t>
      </w:r>
    </w:p>
  </w:footnote>
  <w:footnote w:id="13">
    <w:p w:rsidR="00A76F77" w:rsidRDefault="00A76F77">
      <w:pPr>
        <w:pStyle w:val="FootnoteText"/>
      </w:pPr>
      <w:r>
        <w:rPr>
          <w:rStyle w:val="FootnoteReference"/>
        </w:rPr>
        <w:footnoteRef/>
      </w:r>
      <w:r>
        <w:t xml:space="preserve"> </w:t>
      </w:r>
      <w:r w:rsidR="00261FD9">
        <w:t xml:space="preserve">Irmantas Kuzas, Komandiruotės ataskaita Nr. 3R-7-(1.4), 2012 m. sausio 3 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F3" w:rsidRDefault="006D5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77" w:rsidRPr="006D5DF3" w:rsidRDefault="00A76F77" w:rsidP="006D5DF3">
    <w:pPr>
      <w:pStyle w:val="Header"/>
      <w:jc w:val="both"/>
      <w:rPr>
        <w:i/>
        <w:sz w:val="22"/>
        <w:szCs w:val="22"/>
      </w:rPr>
    </w:pPr>
    <w:r w:rsidRPr="006D5DF3">
      <w:rPr>
        <w:i/>
        <w:sz w:val="22"/>
        <w:szCs w:val="22"/>
      </w:rPr>
      <w:t>Teismų procesinių sprendimų viešinimas (pagal ETTT grupės pateiktą medžiagą)</w:t>
    </w:r>
  </w:p>
  <w:p w:rsidR="006D5DF3" w:rsidRDefault="006D5DF3" w:rsidP="006D5DF3">
    <w:pPr>
      <w:pStyle w:val="Header"/>
      <w:jc w:val="both"/>
      <w:rPr>
        <w:i/>
        <w:sz w:val="20"/>
        <w:szCs w:val="20"/>
      </w:rPr>
    </w:pPr>
  </w:p>
  <w:p w:rsidR="006D5DF3" w:rsidRPr="006D5DF3" w:rsidRDefault="006D5DF3" w:rsidP="006D5DF3">
    <w:pPr>
      <w:pStyle w:val="Header"/>
      <w:rPr>
        <w:i/>
        <w:sz w:val="20"/>
        <w:szCs w:val="20"/>
      </w:rPr>
    </w:pPr>
    <w:r w:rsidRPr="006D5DF3">
      <w:rPr>
        <w:i/>
        <w:sz w:val="20"/>
        <w:szCs w:val="20"/>
      </w:rPr>
      <w:t xml:space="preserve">                                                                                                  </w:t>
    </w:r>
    <w:r>
      <w:rPr>
        <w:i/>
        <w:sz w:val="20"/>
        <w:szCs w:val="20"/>
      </w:rPr>
      <w:t xml:space="preserve">                                </w:t>
    </w:r>
    <w:r w:rsidRPr="006D5DF3">
      <w:rPr>
        <w:i/>
        <w:sz w:val="20"/>
        <w:szCs w:val="20"/>
      </w:rPr>
      <w:t xml:space="preserve"> Nacionalinės teismų administracijos</w:t>
    </w:r>
  </w:p>
  <w:p w:rsidR="006D5DF3" w:rsidRPr="006D5DF3" w:rsidRDefault="006D5DF3" w:rsidP="006D5DF3">
    <w:pPr>
      <w:pStyle w:val="Header"/>
      <w:rPr>
        <w:i/>
        <w:sz w:val="20"/>
        <w:szCs w:val="20"/>
      </w:rPr>
    </w:pPr>
    <w:r w:rsidRPr="006D5DF3">
      <w:rPr>
        <w:i/>
        <w:sz w:val="20"/>
        <w:szCs w:val="20"/>
      </w:rPr>
      <w:t xml:space="preserve">                                                                                                  </w:t>
    </w:r>
    <w:r>
      <w:rPr>
        <w:i/>
        <w:sz w:val="20"/>
        <w:szCs w:val="20"/>
      </w:rPr>
      <w:t xml:space="preserve">                                </w:t>
    </w:r>
    <w:r w:rsidRPr="006D5DF3">
      <w:rPr>
        <w:i/>
        <w:sz w:val="20"/>
        <w:szCs w:val="20"/>
      </w:rPr>
      <w:t>Tarptautinių santykių skyrius, 2013 m.</w:t>
    </w:r>
  </w:p>
  <w:p w:rsidR="006D5DF3" w:rsidRPr="006D5DF3" w:rsidRDefault="006D5DF3" w:rsidP="006D5DF3">
    <w:pPr>
      <w:pStyle w:val="Header"/>
      <w:rPr>
        <w:sz w:val="20"/>
        <w:szCs w:val="20"/>
      </w:rPr>
    </w:pPr>
  </w:p>
  <w:p w:rsidR="006D5DF3" w:rsidRPr="0041729F" w:rsidRDefault="006D5DF3" w:rsidP="006D5DF3">
    <w:pPr>
      <w:pStyle w:val="Header"/>
      <w:jc w:val="both"/>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F3" w:rsidRDefault="006D5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C50"/>
    <w:multiLevelType w:val="hybridMultilevel"/>
    <w:tmpl w:val="DA8E053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6C00B02"/>
    <w:multiLevelType w:val="hybridMultilevel"/>
    <w:tmpl w:val="1CBA4AB6"/>
    <w:lvl w:ilvl="0" w:tplc="04270005">
      <w:start w:val="1"/>
      <w:numFmt w:val="bullet"/>
      <w:lvlText w:val=""/>
      <w:lvlJc w:val="left"/>
      <w:pPr>
        <w:ind w:left="770" w:hanging="360"/>
      </w:pPr>
      <w:rPr>
        <w:rFonts w:ascii="Wingdings" w:hAnsi="Wingdings" w:hint="default"/>
      </w:rPr>
    </w:lvl>
    <w:lvl w:ilvl="1" w:tplc="04270003" w:tentative="1">
      <w:start w:val="1"/>
      <w:numFmt w:val="bullet"/>
      <w:lvlText w:val="o"/>
      <w:lvlJc w:val="left"/>
      <w:pPr>
        <w:ind w:left="1490" w:hanging="360"/>
      </w:pPr>
      <w:rPr>
        <w:rFonts w:ascii="Courier New" w:hAnsi="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2">
    <w:nsid w:val="1D2A005A"/>
    <w:multiLevelType w:val="hybridMultilevel"/>
    <w:tmpl w:val="75E07956"/>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2885261C"/>
    <w:multiLevelType w:val="hybridMultilevel"/>
    <w:tmpl w:val="BD40B04E"/>
    <w:lvl w:ilvl="0" w:tplc="0409000F">
      <w:start w:val="1"/>
      <w:numFmt w:val="decimal"/>
      <w:lvlText w:val="%1."/>
      <w:lvlJc w:val="left"/>
      <w:pPr>
        <w:ind w:left="6172" w:hanging="360"/>
      </w:pPr>
      <w:rPr>
        <w:rFonts w:cs="Times New Roman" w:hint="default"/>
      </w:rPr>
    </w:lvl>
    <w:lvl w:ilvl="1" w:tplc="04090019" w:tentative="1">
      <w:start w:val="1"/>
      <w:numFmt w:val="lowerLetter"/>
      <w:lvlText w:val="%2."/>
      <w:lvlJc w:val="left"/>
      <w:pPr>
        <w:ind w:left="6892" w:hanging="360"/>
      </w:pPr>
      <w:rPr>
        <w:rFonts w:cs="Times New Roman"/>
      </w:rPr>
    </w:lvl>
    <w:lvl w:ilvl="2" w:tplc="0409001B" w:tentative="1">
      <w:start w:val="1"/>
      <w:numFmt w:val="lowerRoman"/>
      <w:lvlText w:val="%3."/>
      <w:lvlJc w:val="right"/>
      <w:pPr>
        <w:ind w:left="7612" w:hanging="180"/>
      </w:pPr>
      <w:rPr>
        <w:rFonts w:cs="Times New Roman"/>
      </w:rPr>
    </w:lvl>
    <w:lvl w:ilvl="3" w:tplc="0409000F" w:tentative="1">
      <w:start w:val="1"/>
      <w:numFmt w:val="decimal"/>
      <w:lvlText w:val="%4."/>
      <w:lvlJc w:val="left"/>
      <w:pPr>
        <w:ind w:left="8332" w:hanging="360"/>
      </w:pPr>
      <w:rPr>
        <w:rFonts w:cs="Times New Roman"/>
      </w:rPr>
    </w:lvl>
    <w:lvl w:ilvl="4" w:tplc="04090019" w:tentative="1">
      <w:start w:val="1"/>
      <w:numFmt w:val="lowerLetter"/>
      <w:lvlText w:val="%5."/>
      <w:lvlJc w:val="left"/>
      <w:pPr>
        <w:ind w:left="9052" w:hanging="360"/>
      </w:pPr>
      <w:rPr>
        <w:rFonts w:cs="Times New Roman"/>
      </w:rPr>
    </w:lvl>
    <w:lvl w:ilvl="5" w:tplc="0409001B" w:tentative="1">
      <w:start w:val="1"/>
      <w:numFmt w:val="lowerRoman"/>
      <w:lvlText w:val="%6."/>
      <w:lvlJc w:val="right"/>
      <w:pPr>
        <w:ind w:left="9772" w:hanging="180"/>
      </w:pPr>
      <w:rPr>
        <w:rFonts w:cs="Times New Roman"/>
      </w:rPr>
    </w:lvl>
    <w:lvl w:ilvl="6" w:tplc="0409000F" w:tentative="1">
      <w:start w:val="1"/>
      <w:numFmt w:val="decimal"/>
      <w:lvlText w:val="%7."/>
      <w:lvlJc w:val="left"/>
      <w:pPr>
        <w:ind w:left="10492" w:hanging="360"/>
      </w:pPr>
      <w:rPr>
        <w:rFonts w:cs="Times New Roman"/>
      </w:rPr>
    </w:lvl>
    <w:lvl w:ilvl="7" w:tplc="04090019" w:tentative="1">
      <w:start w:val="1"/>
      <w:numFmt w:val="lowerLetter"/>
      <w:lvlText w:val="%8."/>
      <w:lvlJc w:val="left"/>
      <w:pPr>
        <w:ind w:left="11212" w:hanging="360"/>
      </w:pPr>
      <w:rPr>
        <w:rFonts w:cs="Times New Roman"/>
      </w:rPr>
    </w:lvl>
    <w:lvl w:ilvl="8" w:tplc="0409001B" w:tentative="1">
      <w:start w:val="1"/>
      <w:numFmt w:val="lowerRoman"/>
      <w:lvlText w:val="%9."/>
      <w:lvlJc w:val="right"/>
      <w:pPr>
        <w:ind w:left="11932" w:hanging="180"/>
      </w:pPr>
      <w:rPr>
        <w:rFonts w:cs="Times New Roman"/>
      </w:rPr>
    </w:lvl>
  </w:abstractNum>
  <w:abstractNum w:abstractNumId="4">
    <w:nsid w:val="293B063D"/>
    <w:multiLevelType w:val="hybridMultilevel"/>
    <w:tmpl w:val="F62EDF7E"/>
    <w:lvl w:ilvl="0" w:tplc="A1862DA2">
      <w:start w:val="1"/>
      <w:numFmt w:val="decimal"/>
      <w:lvlText w:val="%1."/>
      <w:lvlJc w:val="left"/>
      <w:pPr>
        <w:ind w:left="1506" w:hanging="360"/>
      </w:pPr>
      <w:rPr>
        <w:rFonts w:ascii="Times New Roman" w:eastAsia="Times New Roman" w:hAnsi="Times New Roman" w:cs="Times New Roman"/>
      </w:rPr>
    </w:lvl>
    <w:lvl w:ilvl="1" w:tplc="04270003" w:tentative="1">
      <w:start w:val="1"/>
      <w:numFmt w:val="bullet"/>
      <w:lvlText w:val="o"/>
      <w:lvlJc w:val="left"/>
      <w:pPr>
        <w:ind w:left="2226" w:hanging="360"/>
      </w:pPr>
      <w:rPr>
        <w:rFonts w:ascii="Courier New" w:hAnsi="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5">
    <w:nsid w:val="3ACD02AA"/>
    <w:multiLevelType w:val="hybridMultilevel"/>
    <w:tmpl w:val="5802DE7E"/>
    <w:lvl w:ilvl="0" w:tplc="B366D378">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5636FC8"/>
    <w:multiLevelType w:val="hybridMultilevel"/>
    <w:tmpl w:val="1B224FB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9931338"/>
    <w:multiLevelType w:val="hybridMultilevel"/>
    <w:tmpl w:val="E6AE432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16C33C3"/>
    <w:multiLevelType w:val="hybridMultilevel"/>
    <w:tmpl w:val="2FF66ED4"/>
    <w:lvl w:ilvl="0" w:tplc="A43C2B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nsid w:val="6DF356BF"/>
    <w:multiLevelType w:val="hybridMultilevel"/>
    <w:tmpl w:val="6A84B5D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70164D76"/>
    <w:multiLevelType w:val="hybridMultilevel"/>
    <w:tmpl w:val="D26896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1354ED2"/>
    <w:multiLevelType w:val="hybridMultilevel"/>
    <w:tmpl w:val="3006D93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9"/>
  </w:num>
  <w:num w:numId="6">
    <w:abstractNumId w:val="1"/>
  </w:num>
  <w:num w:numId="7">
    <w:abstractNumId w:val="2"/>
  </w:num>
  <w:num w:numId="8">
    <w:abstractNumId w:val="11"/>
  </w:num>
  <w:num w:numId="9">
    <w:abstractNumId w:val="7"/>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B8"/>
    <w:rsid w:val="000412B9"/>
    <w:rsid w:val="000468AF"/>
    <w:rsid w:val="00063838"/>
    <w:rsid w:val="00066652"/>
    <w:rsid w:val="000673F7"/>
    <w:rsid w:val="00081294"/>
    <w:rsid w:val="00083967"/>
    <w:rsid w:val="0009393A"/>
    <w:rsid w:val="0009738D"/>
    <w:rsid w:val="00097B19"/>
    <w:rsid w:val="000A1448"/>
    <w:rsid w:val="000B1D85"/>
    <w:rsid w:val="000B260F"/>
    <w:rsid w:val="000B7B3C"/>
    <w:rsid w:val="000C0297"/>
    <w:rsid w:val="000C32ED"/>
    <w:rsid w:val="000E0174"/>
    <w:rsid w:val="000E42BF"/>
    <w:rsid w:val="000E6DC9"/>
    <w:rsid w:val="000F3AD7"/>
    <w:rsid w:val="00102A00"/>
    <w:rsid w:val="00104142"/>
    <w:rsid w:val="001062F8"/>
    <w:rsid w:val="00113C8A"/>
    <w:rsid w:val="001144EC"/>
    <w:rsid w:val="00121659"/>
    <w:rsid w:val="00131EF0"/>
    <w:rsid w:val="00134CF9"/>
    <w:rsid w:val="001408FA"/>
    <w:rsid w:val="0016718D"/>
    <w:rsid w:val="0017148C"/>
    <w:rsid w:val="00172577"/>
    <w:rsid w:val="0017407F"/>
    <w:rsid w:val="00177FC6"/>
    <w:rsid w:val="00181054"/>
    <w:rsid w:val="001941AA"/>
    <w:rsid w:val="00194740"/>
    <w:rsid w:val="001A4188"/>
    <w:rsid w:val="001B4174"/>
    <w:rsid w:val="001B79C3"/>
    <w:rsid w:val="001C705E"/>
    <w:rsid w:val="001E2B6A"/>
    <w:rsid w:val="001E31F9"/>
    <w:rsid w:val="001F3679"/>
    <w:rsid w:val="001F563E"/>
    <w:rsid w:val="001F76D0"/>
    <w:rsid w:val="002008DD"/>
    <w:rsid w:val="00211B7A"/>
    <w:rsid w:val="002127E1"/>
    <w:rsid w:val="00214343"/>
    <w:rsid w:val="00215FBF"/>
    <w:rsid w:val="002271A2"/>
    <w:rsid w:val="00234640"/>
    <w:rsid w:val="00243B63"/>
    <w:rsid w:val="00244D8B"/>
    <w:rsid w:val="00255D1C"/>
    <w:rsid w:val="00261FD9"/>
    <w:rsid w:val="002742B5"/>
    <w:rsid w:val="002779BB"/>
    <w:rsid w:val="00280BDC"/>
    <w:rsid w:val="00284988"/>
    <w:rsid w:val="00286A1E"/>
    <w:rsid w:val="002A09E1"/>
    <w:rsid w:val="002A1611"/>
    <w:rsid w:val="002A4217"/>
    <w:rsid w:val="002B6BFA"/>
    <w:rsid w:val="002C52C5"/>
    <w:rsid w:val="002C777B"/>
    <w:rsid w:val="002D1048"/>
    <w:rsid w:val="002D67A0"/>
    <w:rsid w:val="002E361A"/>
    <w:rsid w:val="002E52DD"/>
    <w:rsid w:val="00304362"/>
    <w:rsid w:val="00314800"/>
    <w:rsid w:val="00323019"/>
    <w:rsid w:val="003241E5"/>
    <w:rsid w:val="00326D81"/>
    <w:rsid w:val="0032764A"/>
    <w:rsid w:val="0032794F"/>
    <w:rsid w:val="00331B8A"/>
    <w:rsid w:val="00333C6C"/>
    <w:rsid w:val="003424CC"/>
    <w:rsid w:val="003454B3"/>
    <w:rsid w:val="003551CD"/>
    <w:rsid w:val="003629BA"/>
    <w:rsid w:val="00365A01"/>
    <w:rsid w:val="003751BA"/>
    <w:rsid w:val="00380F0C"/>
    <w:rsid w:val="003A01D7"/>
    <w:rsid w:val="003B668B"/>
    <w:rsid w:val="003C0C06"/>
    <w:rsid w:val="003C0C94"/>
    <w:rsid w:val="003C45CF"/>
    <w:rsid w:val="003D4C81"/>
    <w:rsid w:val="003D4EE9"/>
    <w:rsid w:val="003F3BEE"/>
    <w:rsid w:val="0040133E"/>
    <w:rsid w:val="00410CBF"/>
    <w:rsid w:val="00413D34"/>
    <w:rsid w:val="00414EBE"/>
    <w:rsid w:val="00417149"/>
    <w:rsid w:val="0041729F"/>
    <w:rsid w:val="00433A80"/>
    <w:rsid w:val="00433F52"/>
    <w:rsid w:val="0043531E"/>
    <w:rsid w:val="004372EE"/>
    <w:rsid w:val="00437DCA"/>
    <w:rsid w:val="00441761"/>
    <w:rsid w:val="00441EC2"/>
    <w:rsid w:val="00445420"/>
    <w:rsid w:val="0045256A"/>
    <w:rsid w:val="00461B62"/>
    <w:rsid w:val="00473FF9"/>
    <w:rsid w:val="00486FA6"/>
    <w:rsid w:val="00495ECA"/>
    <w:rsid w:val="00495F3B"/>
    <w:rsid w:val="004A37B5"/>
    <w:rsid w:val="004A4B9E"/>
    <w:rsid w:val="004A4E5A"/>
    <w:rsid w:val="004B3A23"/>
    <w:rsid w:val="004B3B12"/>
    <w:rsid w:val="004B57FC"/>
    <w:rsid w:val="004B6475"/>
    <w:rsid w:val="004B6C75"/>
    <w:rsid w:val="004E2D32"/>
    <w:rsid w:val="004E3B7E"/>
    <w:rsid w:val="004F1830"/>
    <w:rsid w:val="004F31A9"/>
    <w:rsid w:val="004F5717"/>
    <w:rsid w:val="005124DA"/>
    <w:rsid w:val="00533370"/>
    <w:rsid w:val="00535AF1"/>
    <w:rsid w:val="00541B84"/>
    <w:rsid w:val="00550CB1"/>
    <w:rsid w:val="00553845"/>
    <w:rsid w:val="005628A6"/>
    <w:rsid w:val="00565F0F"/>
    <w:rsid w:val="00572B90"/>
    <w:rsid w:val="00576730"/>
    <w:rsid w:val="005960B9"/>
    <w:rsid w:val="00597B7F"/>
    <w:rsid w:val="005A4D9D"/>
    <w:rsid w:val="005C1AAE"/>
    <w:rsid w:val="005C4C22"/>
    <w:rsid w:val="005C64DA"/>
    <w:rsid w:val="005D14F8"/>
    <w:rsid w:val="005D3738"/>
    <w:rsid w:val="005F14FB"/>
    <w:rsid w:val="005F492A"/>
    <w:rsid w:val="00600460"/>
    <w:rsid w:val="006142E6"/>
    <w:rsid w:val="00615312"/>
    <w:rsid w:val="00615CB9"/>
    <w:rsid w:val="00620819"/>
    <w:rsid w:val="00623996"/>
    <w:rsid w:val="00630B3D"/>
    <w:rsid w:val="0064357E"/>
    <w:rsid w:val="0064688C"/>
    <w:rsid w:val="00646C27"/>
    <w:rsid w:val="00651BF7"/>
    <w:rsid w:val="00653C39"/>
    <w:rsid w:val="0066433F"/>
    <w:rsid w:val="006732A2"/>
    <w:rsid w:val="00675D3B"/>
    <w:rsid w:val="00683696"/>
    <w:rsid w:val="00692CF7"/>
    <w:rsid w:val="006A602C"/>
    <w:rsid w:val="006B4250"/>
    <w:rsid w:val="006B4870"/>
    <w:rsid w:val="006C2A8B"/>
    <w:rsid w:val="006C3008"/>
    <w:rsid w:val="006C4FDD"/>
    <w:rsid w:val="006D4D5B"/>
    <w:rsid w:val="006D5DF3"/>
    <w:rsid w:val="006E10E7"/>
    <w:rsid w:val="006E5CC8"/>
    <w:rsid w:val="006F4B9E"/>
    <w:rsid w:val="006F6D45"/>
    <w:rsid w:val="007178B6"/>
    <w:rsid w:val="00725642"/>
    <w:rsid w:val="0073007B"/>
    <w:rsid w:val="007418E7"/>
    <w:rsid w:val="00743143"/>
    <w:rsid w:val="00757BC0"/>
    <w:rsid w:val="007624A2"/>
    <w:rsid w:val="007658F8"/>
    <w:rsid w:val="007703A0"/>
    <w:rsid w:val="0077520A"/>
    <w:rsid w:val="007776CC"/>
    <w:rsid w:val="00781FA7"/>
    <w:rsid w:val="007865B0"/>
    <w:rsid w:val="0079789A"/>
    <w:rsid w:val="007A4006"/>
    <w:rsid w:val="007B4428"/>
    <w:rsid w:val="007B552F"/>
    <w:rsid w:val="007C219F"/>
    <w:rsid w:val="007C21B0"/>
    <w:rsid w:val="007C2A3F"/>
    <w:rsid w:val="007C4F96"/>
    <w:rsid w:val="007D75A9"/>
    <w:rsid w:val="007E4641"/>
    <w:rsid w:val="007E51AC"/>
    <w:rsid w:val="007E5308"/>
    <w:rsid w:val="007E7FB7"/>
    <w:rsid w:val="007F734F"/>
    <w:rsid w:val="00804A9E"/>
    <w:rsid w:val="00810473"/>
    <w:rsid w:val="008136DD"/>
    <w:rsid w:val="00823534"/>
    <w:rsid w:val="00823D11"/>
    <w:rsid w:val="0082617F"/>
    <w:rsid w:val="00832274"/>
    <w:rsid w:val="00847C43"/>
    <w:rsid w:val="008506A4"/>
    <w:rsid w:val="00853444"/>
    <w:rsid w:val="008575FD"/>
    <w:rsid w:val="00863143"/>
    <w:rsid w:val="00871E17"/>
    <w:rsid w:val="00892489"/>
    <w:rsid w:val="008963A0"/>
    <w:rsid w:val="008A6229"/>
    <w:rsid w:val="008A7387"/>
    <w:rsid w:val="008B618A"/>
    <w:rsid w:val="008B65AB"/>
    <w:rsid w:val="008D0378"/>
    <w:rsid w:val="008E0394"/>
    <w:rsid w:val="008E7804"/>
    <w:rsid w:val="008F7E70"/>
    <w:rsid w:val="00900DC8"/>
    <w:rsid w:val="009010A3"/>
    <w:rsid w:val="009032B3"/>
    <w:rsid w:val="00903AB6"/>
    <w:rsid w:val="009041D7"/>
    <w:rsid w:val="00906405"/>
    <w:rsid w:val="00907987"/>
    <w:rsid w:val="00914365"/>
    <w:rsid w:val="00923755"/>
    <w:rsid w:val="00925CA2"/>
    <w:rsid w:val="00936FD9"/>
    <w:rsid w:val="00937D64"/>
    <w:rsid w:val="00945670"/>
    <w:rsid w:val="00953322"/>
    <w:rsid w:val="00955B74"/>
    <w:rsid w:val="0096232E"/>
    <w:rsid w:val="00964893"/>
    <w:rsid w:val="009673E9"/>
    <w:rsid w:val="00976725"/>
    <w:rsid w:val="0097689E"/>
    <w:rsid w:val="0099440D"/>
    <w:rsid w:val="00995445"/>
    <w:rsid w:val="00996805"/>
    <w:rsid w:val="009A61EE"/>
    <w:rsid w:val="009C0389"/>
    <w:rsid w:val="009C0CA8"/>
    <w:rsid w:val="009C4BBF"/>
    <w:rsid w:val="009C5897"/>
    <w:rsid w:val="009C59A4"/>
    <w:rsid w:val="009F322D"/>
    <w:rsid w:val="009F59F3"/>
    <w:rsid w:val="00A05A2B"/>
    <w:rsid w:val="00A05F73"/>
    <w:rsid w:val="00A070AA"/>
    <w:rsid w:val="00A11B72"/>
    <w:rsid w:val="00A139A7"/>
    <w:rsid w:val="00A2514F"/>
    <w:rsid w:val="00A3114D"/>
    <w:rsid w:val="00A33B94"/>
    <w:rsid w:val="00A34C05"/>
    <w:rsid w:val="00A34CB4"/>
    <w:rsid w:val="00A35BED"/>
    <w:rsid w:val="00A36D2A"/>
    <w:rsid w:val="00A507FE"/>
    <w:rsid w:val="00A51090"/>
    <w:rsid w:val="00A5122F"/>
    <w:rsid w:val="00A56F3F"/>
    <w:rsid w:val="00A57975"/>
    <w:rsid w:val="00A62124"/>
    <w:rsid w:val="00A63270"/>
    <w:rsid w:val="00A66D85"/>
    <w:rsid w:val="00A75E8A"/>
    <w:rsid w:val="00A76F77"/>
    <w:rsid w:val="00A80526"/>
    <w:rsid w:val="00A87B1B"/>
    <w:rsid w:val="00A93359"/>
    <w:rsid w:val="00AA12E5"/>
    <w:rsid w:val="00AA452B"/>
    <w:rsid w:val="00AA49F1"/>
    <w:rsid w:val="00AB0FC0"/>
    <w:rsid w:val="00AB62E5"/>
    <w:rsid w:val="00AC748C"/>
    <w:rsid w:val="00AD1B7D"/>
    <w:rsid w:val="00AE0971"/>
    <w:rsid w:val="00AF548F"/>
    <w:rsid w:val="00AF5E09"/>
    <w:rsid w:val="00B06766"/>
    <w:rsid w:val="00B2065B"/>
    <w:rsid w:val="00B21FF7"/>
    <w:rsid w:val="00B23231"/>
    <w:rsid w:val="00B3187E"/>
    <w:rsid w:val="00B31D38"/>
    <w:rsid w:val="00B36027"/>
    <w:rsid w:val="00B466ED"/>
    <w:rsid w:val="00B618C4"/>
    <w:rsid w:val="00B85F25"/>
    <w:rsid w:val="00B86335"/>
    <w:rsid w:val="00B95E28"/>
    <w:rsid w:val="00BA674A"/>
    <w:rsid w:val="00BE2D5E"/>
    <w:rsid w:val="00C20A21"/>
    <w:rsid w:val="00C21493"/>
    <w:rsid w:val="00C21E76"/>
    <w:rsid w:val="00C23413"/>
    <w:rsid w:val="00C25C37"/>
    <w:rsid w:val="00C37EED"/>
    <w:rsid w:val="00C41BF5"/>
    <w:rsid w:val="00C54FF2"/>
    <w:rsid w:val="00C6119A"/>
    <w:rsid w:val="00C619FB"/>
    <w:rsid w:val="00C63414"/>
    <w:rsid w:val="00C636F1"/>
    <w:rsid w:val="00C73439"/>
    <w:rsid w:val="00C74AB9"/>
    <w:rsid w:val="00C7672D"/>
    <w:rsid w:val="00C77518"/>
    <w:rsid w:val="00C81E79"/>
    <w:rsid w:val="00C86516"/>
    <w:rsid w:val="00C918F5"/>
    <w:rsid w:val="00C92B9D"/>
    <w:rsid w:val="00CA0032"/>
    <w:rsid w:val="00CB2774"/>
    <w:rsid w:val="00CB4070"/>
    <w:rsid w:val="00CB653B"/>
    <w:rsid w:val="00CD24AF"/>
    <w:rsid w:val="00CE3DE2"/>
    <w:rsid w:val="00D05C48"/>
    <w:rsid w:val="00D061FF"/>
    <w:rsid w:val="00D115B5"/>
    <w:rsid w:val="00D121C0"/>
    <w:rsid w:val="00D36EC4"/>
    <w:rsid w:val="00D47B54"/>
    <w:rsid w:val="00D556B5"/>
    <w:rsid w:val="00D56903"/>
    <w:rsid w:val="00D62720"/>
    <w:rsid w:val="00D66AA7"/>
    <w:rsid w:val="00D7521B"/>
    <w:rsid w:val="00D76BC2"/>
    <w:rsid w:val="00D772C8"/>
    <w:rsid w:val="00D943F8"/>
    <w:rsid w:val="00DA23FB"/>
    <w:rsid w:val="00DB2722"/>
    <w:rsid w:val="00DB7D91"/>
    <w:rsid w:val="00DC2A9B"/>
    <w:rsid w:val="00DC54C5"/>
    <w:rsid w:val="00DD33A1"/>
    <w:rsid w:val="00DE6787"/>
    <w:rsid w:val="00DE681F"/>
    <w:rsid w:val="00DF10AF"/>
    <w:rsid w:val="00DF2B0C"/>
    <w:rsid w:val="00DF40A8"/>
    <w:rsid w:val="00DF49CF"/>
    <w:rsid w:val="00DF7397"/>
    <w:rsid w:val="00E05B76"/>
    <w:rsid w:val="00E12ED2"/>
    <w:rsid w:val="00E13B8D"/>
    <w:rsid w:val="00E218BB"/>
    <w:rsid w:val="00E2600B"/>
    <w:rsid w:val="00E32ADD"/>
    <w:rsid w:val="00E41389"/>
    <w:rsid w:val="00E42561"/>
    <w:rsid w:val="00E43A55"/>
    <w:rsid w:val="00E46EF3"/>
    <w:rsid w:val="00E53612"/>
    <w:rsid w:val="00E54018"/>
    <w:rsid w:val="00E73378"/>
    <w:rsid w:val="00E82633"/>
    <w:rsid w:val="00E869DC"/>
    <w:rsid w:val="00E930EF"/>
    <w:rsid w:val="00E9481D"/>
    <w:rsid w:val="00E95809"/>
    <w:rsid w:val="00E97B6A"/>
    <w:rsid w:val="00F10865"/>
    <w:rsid w:val="00F12A28"/>
    <w:rsid w:val="00F275B6"/>
    <w:rsid w:val="00F30724"/>
    <w:rsid w:val="00F41612"/>
    <w:rsid w:val="00F43BA5"/>
    <w:rsid w:val="00F43CFE"/>
    <w:rsid w:val="00F61A2F"/>
    <w:rsid w:val="00F85B01"/>
    <w:rsid w:val="00F90091"/>
    <w:rsid w:val="00FE2CB8"/>
    <w:rsid w:val="00FF35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B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E2CB8"/>
    <w:rPr>
      <w:rFonts w:cs="Times New Roman"/>
      <w:b/>
      <w:bCs/>
    </w:rPr>
  </w:style>
  <w:style w:type="character" w:styleId="Hyperlink">
    <w:name w:val="Hyperlink"/>
    <w:basedOn w:val="DefaultParagraphFont"/>
    <w:uiPriority w:val="99"/>
    <w:rsid w:val="000A1448"/>
    <w:rPr>
      <w:rFonts w:cs="Times New Roman"/>
      <w:color w:val="0000FF"/>
      <w:u w:val="single"/>
    </w:rPr>
  </w:style>
  <w:style w:type="paragraph" w:styleId="ListParagraph">
    <w:name w:val="List Paragraph"/>
    <w:basedOn w:val="Normal"/>
    <w:uiPriority w:val="99"/>
    <w:qFormat/>
    <w:rsid w:val="000A1448"/>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rsid w:val="007B552F"/>
    <w:pPr>
      <w:tabs>
        <w:tab w:val="center" w:pos="4819"/>
        <w:tab w:val="right" w:pos="9638"/>
      </w:tabs>
    </w:pPr>
  </w:style>
  <w:style w:type="character" w:customStyle="1" w:styleId="HeaderChar">
    <w:name w:val="Header Char"/>
    <w:basedOn w:val="DefaultParagraphFont"/>
    <w:link w:val="Header"/>
    <w:uiPriority w:val="99"/>
    <w:locked/>
    <w:rsid w:val="007B552F"/>
    <w:rPr>
      <w:rFonts w:ascii="Times New Roman" w:hAnsi="Times New Roman" w:cs="Times New Roman"/>
      <w:sz w:val="24"/>
      <w:szCs w:val="24"/>
      <w:lang w:eastAsia="lt-LT"/>
    </w:rPr>
  </w:style>
  <w:style w:type="paragraph" w:styleId="Footer">
    <w:name w:val="footer"/>
    <w:basedOn w:val="Normal"/>
    <w:link w:val="FooterChar"/>
    <w:uiPriority w:val="99"/>
    <w:rsid w:val="007B552F"/>
    <w:pPr>
      <w:tabs>
        <w:tab w:val="center" w:pos="4819"/>
        <w:tab w:val="right" w:pos="9638"/>
      </w:tabs>
    </w:pPr>
  </w:style>
  <w:style w:type="character" w:customStyle="1" w:styleId="FooterChar">
    <w:name w:val="Footer Char"/>
    <w:basedOn w:val="DefaultParagraphFont"/>
    <w:link w:val="Footer"/>
    <w:uiPriority w:val="99"/>
    <w:locked/>
    <w:rsid w:val="007B552F"/>
    <w:rPr>
      <w:rFonts w:ascii="Times New Roman" w:hAnsi="Times New Roman" w:cs="Times New Roman"/>
      <w:sz w:val="24"/>
      <w:szCs w:val="24"/>
      <w:lang w:eastAsia="lt-LT"/>
    </w:rPr>
  </w:style>
  <w:style w:type="paragraph" w:styleId="FootnoteText">
    <w:name w:val="footnote text"/>
    <w:basedOn w:val="Normal"/>
    <w:link w:val="FootnoteTextChar"/>
    <w:uiPriority w:val="99"/>
    <w:semiHidden/>
    <w:rsid w:val="00A3114D"/>
    <w:rPr>
      <w:sz w:val="20"/>
      <w:szCs w:val="20"/>
    </w:rPr>
  </w:style>
  <w:style w:type="character" w:customStyle="1" w:styleId="FootnoteTextChar">
    <w:name w:val="Footnote Text Char"/>
    <w:basedOn w:val="DefaultParagraphFont"/>
    <w:link w:val="FootnoteText"/>
    <w:uiPriority w:val="99"/>
    <w:semiHidden/>
    <w:locked/>
    <w:rsid w:val="00A3114D"/>
    <w:rPr>
      <w:rFonts w:ascii="Times New Roman" w:hAnsi="Times New Roman" w:cs="Times New Roman"/>
      <w:sz w:val="20"/>
      <w:szCs w:val="20"/>
      <w:lang w:eastAsia="lt-LT"/>
    </w:rPr>
  </w:style>
  <w:style w:type="character" w:styleId="FootnoteReference">
    <w:name w:val="footnote reference"/>
    <w:basedOn w:val="DefaultParagraphFont"/>
    <w:uiPriority w:val="99"/>
    <w:semiHidden/>
    <w:rsid w:val="00A3114D"/>
    <w:rPr>
      <w:rFonts w:cs="Times New Roman"/>
      <w:vertAlign w:val="superscript"/>
    </w:rPr>
  </w:style>
  <w:style w:type="character" w:styleId="FollowedHyperlink">
    <w:name w:val="FollowedHyperlink"/>
    <w:basedOn w:val="DefaultParagraphFont"/>
    <w:uiPriority w:val="99"/>
    <w:semiHidden/>
    <w:rsid w:val="00906405"/>
    <w:rPr>
      <w:rFonts w:cs="Times New Roman"/>
      <w:color w:val="800080"/>
      <w:u w:val="single"/>
    </w:rPr>
  </w:style>
  <w:style w:type="paragraph" w:styleId="BalloonText">
    <w:name w:val="Balloon Text"/>
    <w:basedOn w:val="Normal"/>
    <w:link w:val="BalloonTextChar"/>
    <w:uiPriority w:val="99"/>
    <w:semiHidden/>
    <w:rsid w:val="00234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64A"/>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B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E2CB8"/>
    <w:rPr>
      <w:rFonts w:cs="Times New Roman"/>
      <w:b/>
      <w:bCs/>
    </w:rPr>
  </w:style>
  <w:style w:type="character" w:styleId="Hyperlink">
    <w:name w:val="Hyperlink"/>
    <w:basedOn w:val="DefaultParagraphFont"/>
    <w:uiPriority w:val="99"/>
    <w:rsid w:val="000A1448"/>
    <w:rPr>
      <w:rFonts w:cs="Times New Roman"/>
      <w:color w:val="0000FF"/>
      <w:u w:val="single"/>
    </w:rPr>
  </w:style>
  <w:style w:type="paragraph" w:styleId="ListParagraph">
    <w:name w:val="List Paragraph"/>
    <w:basedOn w:val="Normal"/>
    <w:uiPriority w:val="99"/>
    <w:qFormat/>
    <w:rsid w:val="000A1448"/>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rsid w:val="007B552F"/>
    <w:pPr>
      <w:tabs>
        <w:tab w:val="center" w:pos="4819"/>
        <w:tab w:val="right" w:pos="9638"/>
      </w:tabs>
    </w:pPr>
  </w:style>
  <w:style w:type="character" w:customStyle="1" w:styleId="HeaderChar">
    <w:name w:val="Header Char"/>
    <w:basedOn w:val="DefaultParagraphFont"/>
    <w:link w:val="Header"/>
    <w:uiPriority w:val="99"/>
    <w:locked/>
    <w:rsid w:val="007B552F"/>
    <w:rPr>
      <w:rFonts w:ascii="Times New Roman" w:hAnsi="Times New Roman" w:cs="Times New Roman"/>
      <w:sz w:val="24"/>
      <w:szCs w:val="24"/>
      <w:lang w:eastAsia="lt-LT"/>
    </w:rPr>
  </w:style>
  <w:style w:type="paragraph" w:styleId="Footer">
    <w:name w:val="footer"/>
    <w:basedOn w:val="Normal"/>
    <w:link w:val="FooterChar"/>
    <w:uiPriority w:val="99"/>
    <w:rsid w:val="007B552F"/>
    <w:pPr>
      <w:tabs>
        <w:tab w:val="center" w:pos="4819"/>
        <w:tab w:val="right" w:pos="9638"/>
      </w:tabs>
    </w:pPr>
  </w:style>
  <w:style w:type="character" w:customStyle="1" w:styleId="FooterChar">
    <w:name w:val="Footer Char"/>
    <w:basedOn w:val="DefaultParagraphFont"/>
    <w:link w:val="Footer"/>
    <w:uiPriority w:val="99"/>
    <w:locked/>
    <w:rsid w:val="007B552F"/>
    <w:rPr>
      <w:rFonts w:ascii="Times New Roman" w:hAnsi="Times New Roman" w:cs="Times New Roman"/>
      <w:sz w:val="24"/>
      <w:szCs w:val="24"/>
      <w:lang w:eastAsia="lt-LT"/>
    </w:rPr>
  </w:style>
  <w:style w:type="paragraph" w:styleId="FootnoteText">
    <w:name w:val="footnote text"/>
    <w:basedOn w:val="Normal"/>
    <w:link w:val="FootnoteTextChar"/>
    <w:uiPriority w:val="99"/>
    <w:semiHidden/>
    <w:rsid w:val="00A3114D"/>
    <w:rPr>
      <w:sz w:val="20"/>
      <w:szCs w:val="20"/>
    </w:rPr>
  </w:style>
  <w:style w:type="character" w:customStyle="1" w:styleId="FootnoteTextChar">
    <w:name w:val="Footnote Text Char"/>
    <w:basedOn w:val="DefaultParagraphFont"/>
    <w:link w:val="FootnoteText"/>
    <w:uiPriority w:val="99"/>
    <w:semiHidden/>
    <w:locked/>
    <w:rsid w:val="00A3114D"/>
    <w:rPr>
      <w:rFonts w:ascii="Times New Roman" w:hAnsi="Times New Roman" w:cs="Times New Roman"/>
      <w:sz w:val="20"/>
      <w:szCs w:val="20"/>
      <w:lang w:eastAsia="lt-LT"/>
    </w:rPr>
  </w:style>
  <w:style w:type="character" w:styleId="FootnoteReference">
    <w:name w:val="footnote reference"/>
    <w:basedOn w:val="DefaultParagraphFont"/>
    <w:uiPriority w:val="99"/>
    <w:semiHidden/>
    <w:rsid w:val="00A3114D"/>
    <w:rPr>
      <w:rFonts w:cs="Times New Roman"/>
      <w:vertAlign w:val="superscript"/>
    </w:rPr>
  </w:style>
  <w:style w:type="character" w:styleId="FollowedHyperlink">
    <w:name w:val="FollowedHyperlink"/>
    <w:basedOn w:val="DefaultParagraphFont"/>
    <w:uiPriority w:val="99"/>
    <w:semiHidden/>
    <w:rsid w:val="00906405"/>
    <w:rPr>
      <w:rFonts w:cs="Times New Roman"/>
      <w:color w:val="800080"/>
      <w:u w:val="single"/>
    </w:rPr>
  </w:style>
  <w:style w:type="paragraph" w:styleId="BalloonText">
    <w:name w:val="Balloon Text"/>
    <w:basedOn w:val="Normal"/>
    <w:link w:val="BalloonTextChar"/>
    <w:uiPriority w:val="99"/>
    <w:semiHidden/>
    <w:rsid w:val="00234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64A"/>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65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cc-cpi.int/en_menus/icc/press%20and%20media/press%20releases/Pages/pr941.aspx" TargetMode="External"/><Relationship Id="rId1" Type="http://schemas.openxmlformats.org/officeDocument/2006/relationships/hyperlink" Target="http://www.rzeczpospolita.pl/pliki/prawo/pdf/ranking_e-sady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087CC-157D-49CB-9022-758B1E17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4144</Words>
  <Characters>23627</Characters>
  <Application>Microsoft Office Word</Application>
  <DocSecurity>0</DocSecurity>
  <Lines>196</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APŽVALGA</vt:lpstr>
      <vt:lpstr>APŽVALGA</vt:lpstr>
    </vt:vector>
  </TitlesOfParts>
  <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APŽVALGA</dc:title>
  <dc:creator>l.laurinaviciute</dc:creator>
  <cp:lastModifiedBy>Audrius Cininas</cp:lastModifiedBy>
  <cp:revision>2</cp:revision>
  <cp:lastPrinted>2013-09-27T12:29:00Z</cp:lastPrinted>
  <dcterms:created xsi:type="dcterms:W3CDTF">2013-12-13T10:59:00Z</dcterms:created>
  <dcterms:modified xsi:type="dcterms:W3CDTF">2013-12-13T10:59:00Z</dcterms:modified>
</cp:coreProperties>
</file>